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82AE1" w14:textId="77777777" w:rsidR="000C2A7A" w:rsidRDefault="000C2A7A"/>
    <w:p w14:paraId="2631DEBE" w14:textId="77777777" w:rsidR="000C2A7A" w:rsidRDefault="00000000">
      <w:pPr>
        <w:spacing w:after="300"/>
        <w:jc w:val="center"/>
      </w:pPr>
      <w:r>
        <w:rPr>
          <w:sz w:val="22"/>
          <w:szCs w:val="22"/>
        </w:rPr>
        <w:t>АНО «Научно-образовательный центр педагогических проектов»</w:t>
      </w:r>
    </w:p>
    <w:p w14:paraId="623AF32B" w14:textId="77777777" w:rsidR="000C2A7A" w:rsidRDefault="00000000">
      <w:pPr>
        <w:spacing w:after="160"/>
        <w:jc w:val="center"/>
      </w:pPr>
      <w:r>
        <w:rPr>
          <w:b/>
          <w:bCs/>
          <w:sz w:val="34"/>
          <w:szCs w:val="34"/>
        </w:rPr>
        <w:t>НАВИГАТОР ПРИКАЗОВ ДОО 2026/2027</w:t>
      </w:r>
    </w:p>
    <w:p w14:paraId="0A8F91CA" w14:textId="77777777" w:rsidR="000C2A7A" w:rsidRDefault="00000000">
      <w:pPr>
        <w:spacing w:after="300"/>
        <w:jc w:val="center"/>
      </w:pPr>
      <w:r>
        <w:t>Приказ → нужен ли → когда → ежегодно ли → основание</w:t>
      </w:r>
    </w:p>
    <w:p w14:paraId="40D8ABB4" w14:textId="77777777" w:rsidR="000C2A7A" w:rsidRDefault="00000000">
      <w:pPr>
        <w:spacing w:after="120" w:line="264" w:lineRule="auto"/>
        <w:jc w:val="both"/>
      </w:pPr>
      <w:r>
        <w:rPr>
          <w:b/>
          <w:bCs/>
          <w:sz w:val="20"/>
          <w:szCs w:val="20"/>
        </w:rPr>
        <w:t>Как читать таблицу.</w:t>
      </w:r>
      <w:r>
        <w:rPr>
          <w:sz w:val="20"/>
          <w:szCs w:val="20"/>
        </w:rPr>
        <w:t xml:space="preserve"> Графа «Статус» разделяет два разных вопроса — что обязательно и как это оформить. </w:t>
      </w:r>
      <w:r>
        <w:rPr>
          <w:b/>
          <w:bCs/>
          <w:sz w:val="20"/>
          <w:szCs w:val="20"/>
        </w:rPr>
        <w:t>Обязателен</w:t>
      </w:r>
      <w:r>
        <w:rPr>
          <w:sz w:val="20"/>
          <w:szCs w:val="20"/>
        </w:rPr>
        <w:t xml:space="preserve"> — норма прямо требует распорядительного акта. </w:t>
      </w:r>
      <w:r>
        <w:rPr>
          <w:b/>
          <w:bCs/>
          <w:sz w:val="20"/>
          <w:szCs w:val="20"/>
        </w:rPr>
        <w:t>Обязательно действие</w:t>
      </w:r>
      <w:r>
        <w:rPr>
          <w:sz w:val="20"/>
          <w:szCs w:val="20"/>
        </w:rPr>
        <w:t xml:space="preserve"> — норма требует утвердить документ, назначить лицо или провести процедуру, но форму оформления организация выбирает сама; приказ здесь обычная, хотя и не единственная форма. </w:t>
      </w:r>
      <w:r>
        <w:rPr>
          <w:b/>
          <w:bCs/>
          <w:sz w:val="20"/>
          <w:szCs w:val="20"/>
        </w:rPr>
        <w:t>Условный</w:t>
      </w:r>
      <w:r>
        <w:rPr>
          <w:sz w:val="20"/>
          <w:szCs w:val="20"/>
        </w:rPr>
        <w:t xml:space="preserve"> — необходим при наличии определённой ситуации (ребёнок с ОВЗ, пищеблок, платные услуги, несчастный случай). </w:t>
      </w:r>
      <w:r>
        <w:rPr>
          <w:b/>
          <w:bCs/>
          <w:sz w:val="20"/>
          <w:szCs w:val="20"/>
        </w:rPr>
        <w:t>Целесообразный</w:t>
      </w:r>
      <w:r>
        <w:rPr>
          <w:sz w:val="20"/>
          <w:szCs w:val="20"/>
        </w:rPr>
        <w:t xml:space="preserve"> — законом не предписан, но является оправданным способом управленческого оформления. </w:t>
      </w:r>
      <w:r>
        <w:rPr>
          <w:b/>
          <w:bCs/>
          <w:sz w:val="20"/>
          <w:szCs w:val="20"/>
        </w:rPr>
        <w:t>Не требуется</w:t>
      </w:r>
      <w:r>
        <w:rPr>
          <w:sz w:val="20"/>
          <w:szCs w:val="20"/>
        </w:rPr>
        <w:t xml:space="preserve"> — вопрос уже урегулирован иным документом, и отдельный приказ избыточен.</w:t>
      </w:r>
    </w:p>
    <w:p w14:paraId="533FF081" w14:textId="77777777" w:rsidR="000C2A7A" w:rsidRDefault="00000000">
      <w:pPr>
        <w:spacing w:after="120" w:line="264" w:lineRule="auto"/>
        <w:jc w:val="both"/>
      </w:pPr>
      <w:r>
        <w:rPr>
          <w:sz w:val="20"/>
          <w:szCs w:val="20"/>
        </w:rPr>
        <w:t>Графа «Ежегодно?» отвечает на вопрос о переиздании</w:t>
      </w:r>
      <w:proofErr w:type="gramStart"/>
      <w:r>
        <w:rPr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>Да</w:t>
      </w:r>
      <w:proofErr w:type="gramEnd"/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Нет, действует до отмены/изменения</w:t>
      </w:r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При наступлении события</w:t>
      </w:r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По решению ДОО</w:t>
      </w:r>
      <w:r>
        <w:rPr>
          <w:sz w:val="20"/>
          <w:szCs w:val="20"/>
        </w:rPr>
        <w:t>. Прочерк ставится в строках со статусом «Не требуется», где вопрос о переиздании не возникает. Значение «Нет, действует до отмены/изменения» означает, что 1 сентября приказ не переиздаётся: он сохраняет силу, пока не изменились обстоятельства.</w:t>
      </w:r>
    </w:p>
    <w:p w14:paraId="56FA7614" w14:textId="77777777" w:rsidR="000C2A7A" w:rsidRDefault="00000000">
      <w:pPr>
        <w:spacing w:after="120" w:line="264" w:lineRule="auto"/>
        <w:jc w:val="both"/>
      </w:pPr>
      <w:r>
        <w:rPr>
          <w:sz w:val="20"/>
          <w:szCs w:val="20"/>
        </w:rPr>
        <w:t>Графа «Шаблон» указывает номер готового образца в файле «Основные приказы ДОО на 2026/2027 учебный год — готовые шаблоны». Запись вида «п. 3 шаблона № 27» означает, что вопрос оформляется пунктом другой формы этого сборника; прочерк или пометка «отдельная форма не включена» — что готового образца по этой позиции в комплекте нет. Номер шаблона — номер образца в сборнике, а не регистрационный номер приказа организации.</w:t>
      </w:r>
    </w:p>
    <w:p w14:paraId="6190C8B6" w14:textId="77777777" w:rsidR="000C2A7A" w:rsidRDefault="00000000">
      <w:pPr>
        <w:spacing w:after="200" w:line="264" w:lineRule="auto"/>
        <w:jc w:val="both"/>
      </w:pPr>
      <w:r>
        <w:rPr>
          <w:sz w:val="20"/>
          <w:szCs w:val="20"/>
        </w:rPr>
        <w:t>Реквизиты нормативных актов приведены по действующим редакциям по состоянию на 9 сентября 2026 года. Материал не учитывает региональные и муниципальные требования — их следует проверить дополнительно.</w:t>
      </w:r>
    </w:p>
    <w:p w14:paraId="0A70DA18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I. Организация деятельности на учебный год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3FF7BA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B7461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C86C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B5C75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6B80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E3E2D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4448D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6A6E5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AD789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43A96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500D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CF7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образовательной деятельности в 2026/2027 учебном году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14A0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14FF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Август, до начала учебного года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5D91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6858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6, 7, 13 ч. 3 ст. 28 № 273-ФЗ; п. 10, 14 Порядка № 373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D56A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2DB0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Комплексный приказ. Приложениями удобно оформить годовой план, расписание занятий, графики специалистов, перечень ответственных. Режимы дня и календарный план воспитательной работы входят в ОП ДО; включать их приложениями к приказу допустимо, но не требуется</w:t>
            </w:r>
          </w:p>
        </w:tc>
      </w:tr>
      <w:tr w:rsidR="000C2A7A" w14:paraId="071DF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B2FD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C7A24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образовательной программы дошкольного образования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A313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F3BF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разработке новой редакции ОП ДО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C278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64E9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5 ст. 12, п. 6 ч. 3 ст. 28 № 273-ФЗ; п. 10 Порядка № 373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21F8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0064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утверждение программы; форма — приказ либо гриф утверждения. Ежегодно не переиздаётся: обновление содержания оформляется приказом о внесении изменений</w:t>
            </w:r>
          </w:p>
        </w:tc>
      </w:tr>
      <w:tr w:rsidR="000C2A7A" w14:paraId="79953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0F46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C563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внесении изменений в образовательную программу дошкольного образования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3D35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0AC1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выявлении несоответствия действующей редакции ОП новым требованиям или условиям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7D51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8787B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5 ст. 12, п. 6 ч. 3 ст. 28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D2FB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C9C4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Смена санитарных актов с 01.09.2026 обязывает проверить программу, но не доказывает необходимость правок у каждой ДОО: новая редакция могла их уже учитывать. Меняется программа организации, а не текст федерального акта</w:t>
            </w:r>
          </w:p>
        </w:tc>
      </w:tr>
      <w:tr w:rsidR="000C2A7A" w14:paraId="5C6204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4C028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91F8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годового плана работы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C347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5CE0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E256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ED7F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7 ч. 3 ст. 28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FBA8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 шаблона № 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3B5C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Может быть пунктом приказа об организации образовательной деятельности</w:t>
            </w:r>
          </w:p>
        </w:tc>
      </w:tr>
      <w:tr w:rsidR="000C2A7A" w14:paraId="6A71F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1BE9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38665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календарного плана воспитательной работы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BE5A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56EC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712C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8DB6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2.11 ФГОС ДО; п. 36.1—36.4 ФОП ДО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6AAB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0A26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Календарный план воспитательной работы входит в ОП ДО и утверждается вместе с ней. Отдельный приказ избыточен</w:t>
            </w:r>
          </w:p>
        </w:tc>
      </w:tr>
      <w:tr w:rsidR="000C2A7A" w14:paraId="2E3BB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00E7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B7AD1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режима работы ДОО и режима дня групп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83E9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634F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2BE41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93A5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14 Порядка № 373; п. 24 СП 2.4.2.4283-26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EFC9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4DB59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Режим работы устанавливается локальным нормативным актом, режимы дня — организационный раздел ОП ДО. Приказ нужен только для введения ЛНА в действие</w:t>
            </w:r>
          </w:p>
        </w:tc>
      </w:tr>
      <w:tr w:rsidR="000C2A7A" w14:paraId="6D6B7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7A57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2A65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расписания занятий и графиков работы специалистов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93F34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7DF6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3382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D3A8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100 ТК РФ; п. 31.15 ФОП ДО; табл. 6.6 СанПиН 1.2.3685-21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B468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 шаблона № 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C873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Обычно оформляется приложениями к приказу об организации образовательной деятельности</w:t>
            </w:r>
          </w:p>
        </w:tc>
      </w:tr>
      <w:tr w:rsidR="000C2A7A" w14:paraId="3FC2B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7C39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7011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актуализации локальных нормативных актов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0F67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D094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изменении законодательства, устава или структуры организации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9C9E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365F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30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C177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CFC9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перечень включаются только акты, у которых есть конкретное основание для пересмотра. Плановая ежегодная переработка всех ЛНА не требуется</w:t>
            </w:r>
          </w:p>
        </w:tc>
      </w:tr>
      <w:tr w:rsidR="000C2A7A" w14:paraId="7C073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C4AB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A197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методической работы и создании рабочих групп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F56F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8749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 — сентябрь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D681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E629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20 ч. 3 ст. 28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A065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2014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рабочих групп меняется ежегодно, поэтому переиздание оправданно</w:t>
            </w:r>
          </w:p>
        </w:tc>
      </w:tr>
      <w:tr w:rsidR="000C2A7A" w14:paraId="7AD17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A110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B0E0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наставничества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62B5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CA5C5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закреплении наставника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5290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2FC6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351.8 ТК РФ (с 01.03.2025)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AE57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220C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не заменяет письменное согласие работника и дополнительное соглашение к трудовому договору с указанием содержания, сроков, формы работы и размера выплаты</w:t>
            </w:r>
          </w:p>
        </w:tc>
      </w:tr>
      <w:tr w:rsidR="000C2A7A" w14:paraId="7AB0D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1066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FC52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внутренней системы оценки качества образования (утверждении плана внутреннего контроля)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C6A2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117F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 — сентябрь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1F2C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B295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13 ч. 3 ст. 28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8DA3C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1EE5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 о ВСОКО — бессрочный ЛНА, ежегодно переиздаётся только план</w:t>
            </w:r>
          </w:p>
        </w:tc>
      </w:tr>
      <w:tr w:rsidR="000C2A7A" w14:paraId="58B9E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BC02A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F6E6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проведении самообследования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B513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8799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Январь — март (отчёт — до 20 апреля)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E377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2388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ч. 2 ст. 29 № 273-ФЗ; п. 5 Порядка, утв. приказом Минобрнауки России от 14.06.2013 № 462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075A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DF2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 № 462 относит сроки, форму проведения и состав привлекаемых лиц к решению организации; приказ — обычная форма такого решения</w:t>
            </w:r>
          </w:p>
        </w:tc>
      </w:tr>
      <w:tr w:rsidR="000C2A7A" w14:paraId="03B839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9256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DF7A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отчёта о результатах самообследования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2A3E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68D6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 20 апреля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BF3B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0EBE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7—8 Порядка, утв. приказом № 462; показатели — приказ Минобрнауки России от 10.12.2013 № 1324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7AB0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отдельная форма не включена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913C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Отчёт подписывается руководителем; размещается на сайте И направляется учредителю не позднее 20 апреля</w:t>
            </w:r>
          </w:p>
        </w:tc>
      </w:tr>
      <w:tr w:rsidR="000C2A7A" w14:paraId="29D54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08BD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10D7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состава комиссии по урегулированию споров между участниками образовательных отношений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DA88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816C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формировании или изменении состава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E4C7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88DA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2—6 ст. 45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0303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780C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 создания и работы устанавливается ЛНА; ежегодное переиздание не требуется</w:t>
            </w:r>
          </w:p>
        </w:tc>
      </w:tr>
    </w:tbl>
    <w:p w14:paraId="7619BD6D" w14:textId="77777777" w:rsidR="000C2A7A" w:rsidRDefault="000C2A7A"/>
    <w:p w14:paraId="5485047E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II. Образовательная деятельность, дети с ОВЗ, дополнительное образование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598510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A4665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B446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B96E7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90F4F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ED190D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6C8EA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66D8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4E0E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0173E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E9CD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348B1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адаптированной образовательной программы дошкольного образования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91C7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6E28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обучении воспитанников с ОВЗ по адаптированной программе — независимо от направленности группы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CCC8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E2F9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5 ст. 12, ч. 3 ст. 79 № 273-ФЗ; п. 13, 16 Порядка № 373; ФАОП ДО (приказ № 1022)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41BE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E5BC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Потребность определяется рекомендациями ПМПК и организацией обучения, а не названием группы: АОП нужна и в комбинированной группе. АОП ДО организации — не то же, что АОП конкретного ребёнка и не то же, что ФАОП ДО</w:t>
            </w:r>
          </w:p>
        </w:tc>
      </w:tr>
      <w:tr w:rsidR="000C2A7A" w14:paraId="527E7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00BF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71B6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образования воспитанника по адаптированной образовательной программе и создании специальных условий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3379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7F7A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После получения заключения ПМПК и согласия родителей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518D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7A3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Ч. 3 ст. 55, ч. 3 ст. 79 № 273-ФЗ; </w:t>
            </w:r>
            <w:proofErr w:type="spellStart"/>
            <w:r>
              <w:rPr>
                <w:sz w:val="18"/>
                <w:szCs w:val="18"/>
              </w:rPr>
              <w:t>пп</w:t>
            </w:r>
            <w:proofErr w:type="spellEnd"/>
            <w:r>
              <w:rPr>
                <w:sz w:val="18"/>
                <w:szCs w:val="18"/>
              </w:rPr>
              <w:t>. 16—19 Порядка № 373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9A31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2D83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Индивидуальный распорядительный акт на каждого ребёнка. Заключение ПМПК действительно </w:t>
            </w:r>
            <w:r>
              <w:rPr>
                <w:b/>
                <w:bCs/>
                <w:sz w:val="18"/>
                <w:szCs w:val="18"/>
              </w:rPr>
              <w:t>для представления</w:t>
            </w:r>
            <w:r>
              <w:rPr>
                <w:sz w:val="18"/>
                <w:szCs w:val="18"/>
              </w:rPr>
              <w:t xml:space="preserve"> в течение 1 календарного года со дня подписания (п. 38 Положения, утв. приказом № 763); истечение этого срока само по себе не прекращает исполнение своевременно представленных рекомендаций</w:t>
            </w:r>
          </w:p>
        </w:tc>
      </w:tr>
      <w:tr w:rsidR="000C2A7A" w14:paraId="47EB6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CB2C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3458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логопедической помощи (зачислении на логопедические занятия)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E04B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873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зачислении и отчислении обучающихся — если распорядительный акт предусмотрен положением ДОО или региональным актом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0ED4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A8AB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Положение об организации логопедической помощи, принятое ДОО по образцу примерного Положения, утв. распоряжением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06.08.2020 № Р-75 (п. 2.6)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764F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A430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Р-75 утверждает </w:t>
            </w:r>
            <w:r>
              <w:rPr>
                <w:b/>
                <w:bCs/>
                <w:sz w:val="18"/>
                <w:szCs w:val="18"/>
              </w:rPr>
              <w:t>примерное</w:t>
            </w:r>
            <w:r>
              <w:rPr>
                <w:sz w:val="18"/>
                <w:szCs w:val="18"/>
              </w:rPr>
              <w:t xml:space="preserve"> положение, в Минюсте не регистрировалось и НПА не является. Обязанность издать распорядительный акт возникает из положения самой ДОО либо регионального акта — на них и следует ссылаться. Если положение ДОО такой формы не предусматривает, требования издавать приказ нет</w:t>
            </w:r>
          </w:p>
        </w:tc>
      </w:tr>
      <w:tr w:rsidR="000C2A7A" w14:paraId="5C3E1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5076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AC78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создании психолого-педагогического консилиума (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) и утверждении его состава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635B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801A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 создании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или изменении состава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533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CCDB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Распоряжение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09.09.2019 № Р-93 (примерное положение, не НПА)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C8B7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F57F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Ежегодное переиздание не требуется. Полный комплект документов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представлен отдельным материалом</w:t>
            </w:r>
          </w:p>
        </w:tc>
      </w:tr>
      <w:tr w:rsidR="000C2A7A" w14:paraId="5AD20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B781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A417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Об организации </w:t>
            </w:r>
            <w:proofErr w:type="spellStart"/>
            <w:r>
              <w:rPr>
                <w:sz w:val="18"/>
                <w:szCs w:val="18"/>
              </w:rPr>
              <w:t>тьюторского</w:t>
            </w:r>
            <w:proofErr w:type="spellEnd"/>
            <w:r>
              <w:rPr>
                <w:sz w:val="18"/>
                <w:szCs w:val="18"/>
              </w:rPr>
              <w:t xml:space="preserve"> сопровождения / услуг ассистента (помощника)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DBCB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E379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рекомендации ПМПК или ИПРА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58483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853E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3 ст. 79 № 273-ФЗ; п. 18 Порядка № 373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8B06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шаблона № 10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3F1D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Тьютор и ассистент (помощник) — разные роли и разные основания назначения</w:t>
            </w:r>
          </w:p>
        </w:tc>
      </w:tr>
      <w:tr w:rsidR="000C2A7A" w14:paraId="6512E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909E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D58A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индивидуального образовательного маршрута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EDCE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E5D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CEC9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C61F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Федеральными актами не предусмотрен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976B7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3990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Издаётся, только если ИОМ предусмотрен локальной моделью ДОО. Обязанности вести ИОМ на всех детей нет</w:t>
            </w:r>
          </w:p>
        </w:tc>
      </w:tr>
      <w:tr w:rsidR="000C2A7A" w14:paraId="6BAEF4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B2B7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E546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дополнительного образования и утверждении дополнительных общеразвивающих программ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9092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FE77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наличии лицензии на дополнительное образование детей и взрослых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FAE1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5F3A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П. 6 ч. 3 ст. 28 № 273-ФЗ; Порядок,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27.07.2022 № 629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23FD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6F41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Программы утверждаются однократно и действуют до отмены или изменения. Ежегодно приказом оформляются организация реализации, расписание и комплектование групп</w:t>
            </w:r>
          </w:p>
        </w:tc>
      </w:tr>
      <w:tr w:rsidR="000C2A7A" w14:paraId="58F44B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697B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261D5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платных образовательных услуг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F993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5EFA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оказании платных услуг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7D29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73E3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54, 101 № 273-ФЗ; Правила, утв. постановлением Правительства РФ от 15.09.2020 № 1441 (срок действия продлён до 01.09.2032 постановлением Правительства РФ от 21.08.2026 № 1053)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B209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D514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Стоимость устанавливается учредителем либо самой ДОО в установленном учредителем порядке; приказ не заменяет договор с родителями</w:t>
            </w:r>
          </w:p>
        </w:tc>
      </w:tr>
      <w:tr w:rsidR="000C2A7A" w14:paraId="054CA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13128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AB00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обучения по индивидуальному учебному плану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0582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2DF4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наличии основания в ЛНА и заявления родителей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CA47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D9AB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ч. 1 ст. 34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E4DDC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E0FA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дошкольного уровня применяется редко; не смешивать с АОП и ИОМ</w:t>
            </w:r>
          </w:p>
        </w:tc>
      </w:tr>
    </w:tbl>
    <w:p w14:paraId="6822F055" w14:textId="77777777" w:rsidR="000C2A7A" w:rsidRDefault="000C2A7A"/>
    <w:p w14:paraId="1F6AE1C5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lastRenderedPageBreak/>
        <w:t>III. Приём, перевод, отчисление, комплектование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081CD40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403D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3BDE0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7F66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44721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96693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0E7F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201BBE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50B3D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5412C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E616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BFB2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зачислении воспитанника (распорядительный акт о приёме)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1009C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4BB2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течение 3 рабочих дней после заключения договора об образовании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C1A5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C23F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1, 2 ст. 53 № 273-ФЗ; п. 15 Порядка приёма, утв. приказом № 236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BE3B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CA7E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Договор заключается до издания приказа; оформление договора и приказа в один день не исключается. На стенде размещается сам акт, на сайте — только реквизиты акта, наименование группы и число зачисленных детей</w:t>
            </w:r>
          </w:p>
        </w:tc>
      </w:tr>
      <w:tr w:rsidR="000C2A7A" w14:paraId="06299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693A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BBCD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переводе воспитанников в следующие возрастные группы (комплектование на учебный год)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88D7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74C9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 начала учебного года — если перевод меняет условия получения образования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2389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0C1E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1, 3 ст. 57 № 273-ФЗ; подп. 1 п. 24 СП 2.4.2.4283-26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ABF3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658C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Сначала проверяется, меняются ли взаимные права и обязанности по программе и договору. Если да — сначала дополнительные соглашения, затем приказ. Организационное комплектование групп само по себе изменением образовательных отношений не является</w:t>
            </w:r>
          </w:p>
        </w:tc>
      </w:tr>
      <w:tr w:rsidR="000C2A7A" w14:paraId="74A408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63B6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175A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переводе воспитанника в другую группу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B209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F39E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заявлению родителей либо по решению ДОО с согласия родителей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CE0A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3263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3 ст. 57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21AA4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E5D7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изменении условий договора сначала оформляется дополнительное соглашение, затем приказ</w:t>
            </w:r>
          </w:p>
        </w:tc>
      </w:tr>
      <w:tr w:rsidR="000C2A7A" w14:paraId="647637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5BD8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5BA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отчислении воспитанника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224B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644A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прекращении образовательных отношений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23ECB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E127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1, 2, 4 ст. 61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6FFC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E3C2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Три разных основания — завершение обучения, инициатива родителей, перевод в другую организацию — требуют разных преамбул и разного состава выдаваемых документов</w:t>
            </w:r>
          </w:p>
        </w:tc>
      </w:tr>
      <w:tr w:rsidR="000C2A7A" w14:paraId="5EBCC3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1BDD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C8F1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переводе воспитанника в другую организацию в порядке перевода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B133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E04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переводе по инициативе родителей или при прекращении деятельности ДОО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DCABB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4257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 и условия, утв. приказом Минобрнауки России от 28.12.2015 № 1527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EBAB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 В шаблона № 17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E194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Приказы издают обе организации: исходная — об отчислении в порядке перевода, принимающая — о зачислении в порядке перевода</w:t>
            </w:r>
          </w:p>
        </w:tc>
      </w:tr>
      <w:tr w:rsidR="000C2A7A" w14:paraId="7BD0D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E8E7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C24F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комплектовании групп на учебный год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44C9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A08F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Май — август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64DE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7B23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8 ч. 3 ст. 28 № 273-ФЗ; подп. 1 п. 24 СП 2.4.2.4283-26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DEE9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 шаблона № 15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80FB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Наполняемость групп компенсирующей и комбинированной направленности прямо ограничена подп. 1 п. 24 СП</w:t>
            </w:r>
          </w:p>
        </w:tc>
      </w:tr>
      <w:tr w:rsidR="000C2A7A" w14:paraId="0D5A7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395C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537D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открытии группы кратковременного пребывания, дежурной или разновозрастной группы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D64A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AC08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создании соответствующей группы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8791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A723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13, 14 Порядка № 373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ABD84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42BA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Открытие и закрытие групп в муниципальной ДОО, как правило, согласуется с учредителем</w:t>
            </w:r>
          </w:p>
        </w:tc>
      </w:tr>
      <w:tr w:rsidR="000C2A7A" w14:paraId="16537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4D9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5F51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работы в летний оздоровительный период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8EB2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1B83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504A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0390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7 ч. 3 ст. 28 № 273-ФЗ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F7E05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7131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Летний период не является каникулами: образовательная деятельность в ДОО не прерывается</w:t>
            </w:r>
          </w:p>
        </w:tc>
      </w:tr>
    </w:tbl>
    <w:p w14:paraId="1B24F16A" w14:textId="77777777" w:rsidR="000C2A7A" w:rsidRDefault="000C2A7A"/>
    <w:p w14:paraId="734E36FD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IV. Пожарная безопасность, антитеррористическая защищённость, ГО и ЧС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6B2CF9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06CB1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6819E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7508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94BD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F8086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27377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46D7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7D115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69A74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F92C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EF1C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инструкции о мерах пожарной безопасности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E211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7E8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утверждении инструкции и при её пересмотре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0BBA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C582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37 № 69-ФЗ; п. 2 Правил противопожарного режима, утв. постановлением Правительства РФ от 16.09.2020 № 1479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F940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DEC8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Наличие инструкции обязательно; форма утверждения — приказ либо гриф утверждения. Правила № 1479 действуют до 31.12.2026 — в декабре 2026 проверить издание новых Правил</w:t>
            </w:r>
          </w:p>
        </w:tc>
      </w:tr>
      <w:tr w:rsidR="000C2A7A" w14:paraId="0EFF2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486E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73DB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лица, ответственного за пожарную безопасность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705A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164C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руководителя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5446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EBA4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П. 4 Правил № 1479: «Руководитель организации </w:t>
            </w:r>
            <w:r>
              <w:rPr>
                <w:b/>
                <w:bCs/>
                <w:sz w:val="18"/>
                <w:szCs w:val="18"/>
              </w:rPr>
              <w:t>вправе</w:t>
            </w:r>
            <w:r>
              <w:rPr>
                <w:sz w:val="18"/>
                <w:szCs w:val="18"/>
              </w:rPr>
              <w:t xml:space="preserve"> назначать лиц…»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DF85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 шаблона № 18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DB9D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Это право, а не обязанность. При отсутствии назначения соответствующие обязанности исполняет и отвечает за них сам руководитель, поэтому назначение целесообразно</w:t>
            </w:r>
          </w:p>
        </w:tc>
      </w:tr>
      <w:tr w:rsidR="000C2A7A" w14:paraId="0A8EC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02F8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D480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противопожарных инструктажей: назначении лиц, их проводящих, утверждении программ и сроков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2297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D6EA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Однократно; при изменении программ — заново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BE8B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CBD0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МЧС России от 16.12.2024 № 1120 (в силе с 01.09.2025)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4CA6F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EEB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МЧС России от 18.11.2021 № 806 не применяется. Ссылка на № 806 — ошибка шаблонов 2022—2025 годов</w:t>
            </w:r>
          </w:p>
        </w:tc>
      </w:tr>
      <w:tr w:rsidR="000C2A7A" w14:paraId="7CDB4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0284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536D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проведении практических тренировок по эвакуации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54E7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FF0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Если объект относится к объектам с массовым пребыванием людей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27382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1238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Правила противопожарного режима № 1479 (для объектов с массовым пребыванием людей — не реже 1 раза в полугодие)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CCE3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F8AC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Объект с массовым пребыванием людей — объект, где может одновременно находиться 50 и более человек. Условие проверяется по фактической численности детей и работников, а не по типу организации</w:t>
            </w:r>
          </w:p>
        </w:tc>
      </w:tr>
      <w:tr w:rsidR="000C2A7A" w14:paraId="2F70F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4C5D2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F2E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ответственных за антитеррористическую защищённость и об организации пропускного режима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9178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8AD7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Однократно, при назначении; при изменении состава — заново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3E41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1CD6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3.1 ст. 5 № 35-ФЗ; требования, утв. постановлением Правительства РФ от 02.08.2019 № 1006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19EB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3C3F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приказ и в размещаемые материалы не включаются сведения ограниченного доступа: схемы охраны, уязвимые места, содержание паспорта безопасности</w:t>
            </w:r>
          </w:p>
        </w:tc>
      </w:tr>
      <w:tr w:rsidR="000C2A7A" w14:paraId="67011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7567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D7BA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актуализации паспорта безопасности объекта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DC71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C1FF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реже 1 раза в 5 лет, а также при изменениях, перечисленных в п. 48 требований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21ED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50F9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48 требований, утв. постановлением Правительства РФ от 02.08.2019 № 1006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401A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4 шаблона № 21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AF4BF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Событием является как наступление планового пятилетнего срока, так и любое из оснований п. 48. Актуализация проводится в порядке, предусмотренном для разработки паспорта. Паспорт — документ ограниченного доступа</w:t>
            </w:r>
          </w:p>
        </w:tc>
      </w:tr>
      <w:tr w:rsidR="000C2A7A" w14:paraId="1ED5FF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6427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FF16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работника, уполномоченного на решение задач в области гражданской обороны, и об организации подготовки работников в области ГО и защиты от ЧС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D863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1C3F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Однократно, при назначении; план подготовки — ежегодно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8B7F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696F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9 № 28-ФЗ; постановление Правительства РФ от 10.07.1999 № 782 (ред. от 19.01.2026); постановления от 02.11.2000 № 841 и от 18.09.2020 № 1485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B1EF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0706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Отдельно поручается инструктаж по действиям в чрезвычайных ситуациях: не реже 1 раза в год, для вновь принятых — в течение первого месяца работы. ГО и ЧС, пожарная безопасность и антитеррористическая защищённость — три разных предмета</w:t>
            </w:r>
          </w:p>
        </w:tc>
      </w:tr>
    </w:tbl>
    <w:p w14:paraId="12B7E603" w14:textId="77777777" w:rsidR="000C2A7A" w:rsidRDefault="000C2A7A"/>
    <w:p w14:paraId="33FFB504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V. Охрана труда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2F66227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02F9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DDB1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9EBB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24FC2A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A969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F4B8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1A135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25150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54B22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5C04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DED0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ответственного за организацию работы по охране труда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A4CC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4F589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Однократно, при назначении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64F7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3E51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214, 217, 223 ТК РФ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99C0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8349C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численности работников более 50 создаётся служба охраны труда или вводится должность специалиста; при меньшей численности решение принимает работодатель</w:t>
            </w:r>
          </w:p>
        </w:tc>
      </w:tr>
      <w:tr w:rsidR="000C2A7A" w14:paraId="50C9B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C137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41B5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обучения по охране труда, утверждении программ и перечней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ABC2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0867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Однократно; при пересмотре программ — заново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492A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BB6D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219 ТК РФ; Правила, утв. постановлением Правительства РФ от 24.12.2021 № 2464 (в ред. постановления от 30.06.2026 № 805, изменения с 31.08.2026; Правила продлены до 01.09.2032)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20E3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8A2C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Изменения с 31.08.2026: расширен круг лиц, обучающих первой помощи, практика на тренажёрах, уточнена периодичность программ</w:t>
            </w:r>
          </w:p>
        </w:tc>
      </w:tr>
      <w:tr w:rsidR="000C2A7A" w14:paraId="76F63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E401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D3D3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создании комиссии по проверке знания требований охраны труда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2742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E915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Если проверка знаний проводится в самой ДОО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BD2D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52A9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Правила, утв. постановлением № 2464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FFFE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шаблона № 24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9365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Если работники обучаются во внешней организации, собственная комиссия не нужна. Члены комиссии должны пройти обучение ДО начала её работы</w:t>
            </w:r>
          </w:p>
        </w:tc>
      </w:tr>
      <w:tr w:rsidR="000C2A7A" w14:paraId="40DB9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4794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C987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перечня работников, освобождённых от первичного инструктажа на рабочем месте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0FB1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EA67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Только если такое освобождение применимо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4BA4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C407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13 Правил, утв. постановлением № 2464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0FD6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 шаблона № 24 (факультативный)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7184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может вообще отсутствовать. Отнесения к административной должности недостаточно: проверяются характер опасностей и результаты СОУТ</w:t>
            </w:r>
          </w:p>
        </w:tc>
      </w:tr>
      <w:tr w:rsidR="000C2A7A" w14:paraId="4B84C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4990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F956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обеспечении работников средствами индивидуальной защиты и смывающими средствами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2A36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34EE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Однократно; нормы — при изменении результатов СОУТ и ОПР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85EAD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064B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214, 221 ТК РФ; Правила, утв. приказом Минтруда России от 29.10.2021 № 766н; ЕТН, утв. приказом от 29.10.2021 № 767н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5D76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5EA2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Санитарная одежда воспитателей и помощников воспитателя — требование подп. 9 п. 24 СП 2.4.2.4283-26; в приказе основания приводятся раздельно</w:t>
            </w:r>
          </w:p>
        </w:tc>
      </w:tr>
      <w:tr w:rsidR="000C2A7A" w14:paraId="06971E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DE90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26F0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проведении специальной оценки условий труда и создании комиссии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9B76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CF6A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оснований, а также по истечении срока действия результатов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F4C9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A3AA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8, 9, 11 и 17 № 426-ФЗ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93E4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6542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Правило «не реже 1 раза в 5 лет» действует не всегда: при поданной декларации соответствия и неизменных условиях труда она действует бессрочно (ч. 4 ст. 11 № 426-ФЗ). Проверяются основания прекращения декларации и внеплановой СОУТ</w:t>
            </w:r>
          </w:p>
        </w:tc>
      </w:tr>
      <w:tr w:rsidR="000C2A7A" w14:paraId="4C079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6452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722E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расследовании несчастного случая с работником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229E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EF2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Немедленно после происшествия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16ED1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31E3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227—230.1 ТК РФ; приказ Минтруда России от 20.04.2022 № 223н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A218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53AA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комиссии — не менее трёх человек; пострадавший и его непосредственный руководитель в комиссию не включаются</w:t>
            </w:r>
          </w:p>
        </w:tc>
      </w:tr>
      <w:tr w:rsidR="000C2A7A" w14:paraId="67448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275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F935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расследовании несчастного случая с воспитанником (лёгкие повреждения здоровья)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37EF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9A86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Незамедлительно после происшествия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E9B3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5430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4 ст. 41 № 273-ФЗ; п. 9 Порядка, утв. приказом Минобрнауки России от 27.06.2017 № 602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855C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F9A0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Комиссию создаёт руководитель ДОО и сам её возглавляет; срок расследования — 3 календарных дня. При групповом, тяжёлом и смертельном случае комиссию создаёт учредитель (п. 10 Порядка), срок — 15 календарных дней; ДОО приказа о комиссии не издаёт</w:t>
            </w:r>
          </w:p>
        </w:tc>
      </w:tr>
    </w:tbl>
    <w:p w14:paraId="4BD99BC3" w14:textId="77777777" w:rsidR="000C2A7A" w:rsidRDefault="000C2A7A"/>
    <w:p w14:paraId="76397023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VI. Организация питания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11ADB1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FE8ED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78976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16B01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2D803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5ABFB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37B3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A2426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9B0BB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1132A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1057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CB00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питания воспитанников в 2026/2027 учебном году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AD78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B836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DD29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54336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СанПиН 2.3/2.4.4282-26 (постановление ГГСВ РФ от 02.06.2026 № 18), </w:t>
            </w:r>
            <w:proofErr w:type="spellStart"/>
            <w:r>
              <w:rPr>
                <w:sz w:val="18"/>
                <w:szCs w:val="18"/>
              </w:rPr>
              <w:t>пп</w:t>
            </w:r>
            <w:proofErr w:type="spellEnd"/>
            <w:r>
              <w:rPr>
                <w:sz w:val="18"/>
                <w:szCs w:val="18"/>
              </w:rPr>
              <w:t>. 49, 59—62; п. 9 СП 2.4.2.4283-26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50D1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45CA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Обязательны назначение ответственных лиц и организация процессов; приказ — обычная форма. Ежегодное переиздание оправданно: меняются ответственные, режим питания и меню</w:t>
            </w:r>
          </w:p>
        </w:tc>
      </w:tr>
      <w:tr w:rsidR="000C2A7A" w14:paraId="49E78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D419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AE21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меню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FDC0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8CC5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2F5C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A94A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Подп. 3 п. 59 СанПиН 2.3/2.4.4282-26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6871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959D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Меню утверждается руководителем организации грифом утверждения. Отдельный приказ не требуется</w:t>
            </w:r>
          </w:p>
        </w:tc>
      </w:tr>
      <w:tr w:rsidR="000C2A7A" w14:paraId="59042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8674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FF6A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ответственного за отбор и хранение суточных проб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70E6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18C0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Однократно, при назначении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5718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166D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Подп. 10 п. 59 СанПиН 2.3/2.4.4282-26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235C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шаблона № 27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6A3B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СанПиН прямо говорит о «назначенном ответственном работнике пищеблока»</w:t>
            </w:r>
          </w:p>
        </w:tc>
      </w:tr>
      <w:tr w:rsidR="000C2A7A" w14:paraId="2ADC7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9DE1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AEB6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О создании </w:t>
            </w:r>
            <w:proofErr w:type="spellStart"/>
            <w:r>
              <w:rPr>
                <w:sz w:val="18"/>
                <w:szCs w:val="18"/>
              </w:rPr>
              <w:t>бракеражной</w:t>
            </w:r>
            <w:proofErr w:type="spellEnd"/>
            <w:r>
              <w:rPr>
                <w:sz w:val="18"/>
                <w:szCs w:val="18"/>
              </w:rPr>
              <w:t xml:space="preserve"> комиссии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5CBB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4607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608F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344C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Приложения № 4 и 5 к СанПиН 2.3/2.4.4282-26 — рекомендуемые образцы журналов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3281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6E7E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Обязанность создавать </w:t>
            </w:r>
            <w:proofErr w:type="spellStart"/>
            <w:r>
              <w:rPr>
                <w:sz w:val="18"/>
                <w:szCs w:val="18"/>
              </w:rPr>
              <w:t>бракеражную</w:t>
            </w:r>
            <w:proofErr w:type="spellEnd"/>
            <w:r>
              <w:rPr>
                <w:sz w:val="18"/>
                <w:szCs w:val="18"/>
              </w:rPr>
              <w:t xml:space="preserve"> комиссию в детских организациях федеральными санитарными правилами не установлена: снятие пробы комиссией прямо предусмотрено только для медицинских организаций и организаций социального обслуживания (п. 56). Проверить региональные и муниципальные требования</w:t>
            </w:r>
          </w:p>
        </w:tc>
      </w:tr>
      <w:tr w:rsidR="000C2A7A" w14:paraId="315EE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13FE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E1A7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питьевого режима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B6B3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C876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Однократно; график смены воды — постоянно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348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84E5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62 СанПиН 2.3/2.4.4282-26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2403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шаблона № 27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5508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График смены кипячёной воды ведётся в произвольной форме</w:t>
            </w:r>
          </w:p>
        </w:tc>
      </w:tr>
      <w:tr w:rsidR="000C2A7A" w14:paraId="45B2B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A06F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A1A2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производственного контроля и применении процедур, основанных на принципах ХАССП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B387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3153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утверждении программы производственного контроля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09CF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38BD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32 № 52-ФЗ; ст. 10, 11 ТР ТС 021/2011; п. 8 СП 2.4.2.4283-26; п. 4 СанПиН 2.3/2.4.4282-26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8DA1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2E75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Обязательны программа и её применение; приказ вводит программу в действие. Периодичность контроля и лабораторных исследований устанавливает сама организация. Программа ППК на принципах ХАССП представлена отдельным материалом</w:t>
            </w:r>
          </w:p>
        </w:tc>
      </w:tr>
      <w:tr w:rsidR="000C2A7A" w14:paraId="379C96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CFD3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B92B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родительского контроля за организацией питания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7EE5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E549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11E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313F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1 ст. 44 № 273-ФЗ; МР 2.4.0180-20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2790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8AF5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Методические рекомендации Роспотребнадзора не являются нормативным правовым актом</w:t>
            </w:r>
          </w:p>
        </w:tc>
      </w:tr>
    </w:tbl>
    <w:p w14:paraId="0D370012" w14:textId="77777777" w:rsidR="000C2A7A" w:rsidRDefault="000C2A7A"/>
    <w:p w14:paraId="120A74DB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VII. Охрана здоровья воспитанников и медицинское обеспечение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2EF0AAC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19F85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1805E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661D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3C706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71630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ADD3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5868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608E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29A0C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3C5B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402C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охраны здоровья воспитанников и взаимодействии с медицинской организацией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A455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3AA7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Август — сентябрь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EB0F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75CC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41 № 273-ФЗ; Порядок, утв. приказом Минздрава России от 14.04.2025 № 213н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00E5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3390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Минздрава России от 05.11.2013 № 822н утратил силу. Ссылка на № 822н — типовая ошибка шаблонов</w:t>
            </w:r>
          </w:p>
        </w:tc>
      </w:tr>
      <w:tr w:rsidR="000C2A7A" w14:paraId="79136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6BE8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55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926F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порядке проведения ежедневного утреннего приёма детей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9130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C7F1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05478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54D7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Подп. 8 п. 24 СП 2.4.2.4283-26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9EF8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 шаблона № 29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7D0D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Обязанность установлена самими санитарными правилами. Утренний приём проводят воспитатели и (или) медицинский работник: опрос родителей и бесконтактная термометрия</w:t>
            </w:r>
          </w:p>
        </w:tc>
      </w:tr>
      <w:tr w:rsidR="000C2A7A" w14:paraId="2CE0E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4757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B395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прохождения обязательных медицинских осмотров, профессиональной гигиенической подготовки и вакцинации работников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4643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6BF5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графику; график — ежегодно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67F2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82D2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214, 220 ТК РФ; п. 5 СП 2.4.2.4283-26; приказ Минздрава России от 28.01.2021 № 29н; приказ Минтруда и Минздрава от 31.12.2020 № 988н/1420н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9A11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5BA8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Профессиональная гигиеническая подготовка — не реже 1 раза в 2 года, работники пищеблока — ежегодно. Отстранение от работы оформляется индивидуально по ст. 76 ТК РФ с проверкой обязательности конкретной прививки</w:t>
            </w:r>
          </w:p>
        </w:tc>
      </w:tr>
      <w:tr w:rsidR="000C2A7A" w14:paraId="732D2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E5C9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1D1D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мероприятиях при выявлении инфекционного заболевания (введении ограничительных мероприятий)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BCA3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8B6A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выявлении случая заболевания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32FD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FB79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11 СП 2.4.2.4283-26; ст. 29, 31 № 52-ФЗ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28C8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3 шаблона № 29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4B4E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Информирование территориального органа Роспотребнадзора — в течение двух часов с момента выявления</w:t>
            </w:r>
          </w:p>
        </w:tc>
      </w:tr>
      <w:tr w:rsidR="000C2A7A" w14:paraId="25AAD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D3B6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BC58F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физкультурно-оздоровительной работы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D322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9CDC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7E2F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B2D3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Разделы ОП ДО; п. 24 СП 2.4.2.4283-26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2913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8C21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Регулируется образовательной программой и режимом дня; отдельный приказ не требуется</w:t>
            </w:r>
          </w:p>
        </w:tc>
      </w:tr>
    </w:tbl>
    <w:p w14:paraId="26DAD74C" w14:textId="77777777" w:rsidR="000C2A7A" w:rsidRDefault="000C2A7A"/>
    <w:p w14:paraId="3482578D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VIII. Персональные данные, официальный сайт, делопроизводство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462B37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58701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8EF7A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80B6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AB12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B289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119A0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0D0C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5A72C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2D5DC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EA60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37D5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обработки персональных данных и назначении ответственного за организацию обработки персональных данных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C013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79BE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Однократно, при назначении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5EA7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003AA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 ч. 1 ст. 18.1, ч. 1 ст. 22.1 № 152-ФЗ: «Оператор, являющийся юридическим лицом, назначает лицо, ответственное за организацию обработки персональных данных»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81D8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252C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Закон требует назначить ответственного, но приказа прямо не называет: назначение оформляется приказом либо иным решением уполномоченного органа. Приказ не заменяет политику оператора и положение об обработке </w:t>
            </w:r>
            <w:proofErr w:type="spellStart"/>
            <w:r>
              <w:rPr>
                <w:sz w:val="18"/>
                <w:szCs w:val="18"/>
              </w:rPr>
              <w:t>ПДн</w:t>
            </w:r>
            <w:proofErr w:type="spellEnd"/>
            <w:r>
              <w:rPr>
                <w:sz w:val="18"/>
                <w:szCs w:val="18"/>
              </w:rPr>
              <w:t xml:space="preserve"> — это разные документы</w:t>
            </w:r>
          </w:p>
        </w:tc>
      </w:tr>
      <w:tr w:rsidR="000C2A7A" w14:paraId="78604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1E16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02A7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перечня лиц, допущенных к обработке персональных данных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0AFEF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40AD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изменении состава допущенных лиц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0D46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0C49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13 Требований, утв. постановлением Правительства РФ от 01.11.2012 № 1119: требуется утверждение руководителем оператора документа с перечнем таких лиц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29A9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256F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Норма требует утверждённого документа, а не приказа как такового; приказ — обычная форма утверждения. Требование относится к обработке в информационных системах персональных данных. Ежегодное переиздание не требуется</w:t>
            </w:r>
          </w:p>
        </w:tc>
      </w:tr>
      <w:tr w:rsidR="000C2A7A" w14:paraId="109A0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7BEB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61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D152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(введении в действие) локальных актов по обработке персональных данных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05CD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78E3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утверждении или изменении актов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88689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2408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П. 2 ч. 1 ст. 18.1, ч. 2 ст. 18.1 № 152-ФЗ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3422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отдельная форма не включена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EBA3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наличие политики и локальных актов; политика подлежит опубликованию</w:t>
            </w:r>
          </w:p>
        </w:tc>
      </w:tr>
      <w:tr w:rsidR="000C2A7A" w14:paraId="488B7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3A62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AE2D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О защите специальных категорий персональных данных / об обработке </w:t>
            </w:r>
            <w:proofErr w:type="spellStart"/>
            <w:r>
              <w:rPr>
                <w:sz w:val="18"/>
                <w:szCs w:val="18"/>
              </w:rPr>
              <w:t>ПДн</w:t>
            </w:r>
            <w:proofErr w:type="spellEnd"/>
            <w:r>
              <w:rPr>
                <w:sz w:val="18"/>
                <w:szCs w:val="18"/>
              </w:rPr>
              <w:t xml:space="preserve"> в информационных системах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C36E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429D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 обработке в </w:t>
            </w:r>
            <w:proofErr w:type="spellStart"/>
            <w:r>
              <w:rPr>
                <w:sz w:val="18"/>
                <w:szCs w:val="18"/>
              </w:rPr>
              <w:t>ИСПДн</w:t>
            </w:r>
            <w:proofErr w:type="spellEnd"/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7089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11B4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10, 19 № 152-ФЗ; постановление Правительства РФ от 01.11.2012 № 1119; приказ ФСТЭК России от 18.02.2013 № 21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0B3B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C029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Уровень защищённости определяется по ПП № 1119, а не произвольным решением</w:t>
            </w:r>
          </w:p>
        </w:tc>
      </w:tr>
      <w:tr w:rsidR="000C2A7A" w14:paraId="189D1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8218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A7C7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ответственного за ведение официального сайта и обеспечение информационной открытости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61EA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2A75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Однократно, при назначении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A70B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2509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29 № 273-ФЗ; Правила, утв. постановлением Правительства РФ от 20.10.2021 № 1802; Требования, утв. приказом Рособрнадзора от 04.08.2023 № 1493 (в ред. приказа от 03.07.2025 № 1353)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A178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5871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Ведение сайта не входит в трудовую функцию воспитателя. Возложение требует согласия работника, дополнительного соглашения и оплаты (ст. 60.2, 151 ТК РФ)</w:t>
            </w:r>
          </w:p>
        </w:tc>
      </w:tr>
      <w:tr w:rsidR="000C2A7A" w14:paraId="0855B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5796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E019D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номенклатуры дел на календарный год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D609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F864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конце текущего года; вводится в действие с 1 января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0251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AE90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17 № 125-ФЗ; п. 11 Правил, утв. приказом Росархива от 31.07.2023 № 77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9671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498C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Номенклатура разрабатывается в конце каждого года, согласовывается с экспертной комиссией и утверждается руководителем. Организация — источник комплектования архива раз в 5 лет представляет её на ЭПК архивного учреждения; не источник — утверждает самостоятельно</w:t>
            </w:r>
          </w:p>
        </w:tc>
      </w:tr>
      <w:tr w:rsidR="000C2A7A" w14:paraId="7C73A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A5D8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2C44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ответственного за архив и создании экспертной комиссии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F88F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7458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Однократно; состав — при изменении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309E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0F10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17 № 125-ФЗ; Правила, утв. приказом Росархива от 31.07.2023 № 77; Перечень, утв. приказом Росархива от 20.12.2019 № 236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ADC2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D8D5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Экспертная комиссия нужна уже для согласования номенклатуры дел. Ежегодное переиздание не требуется</w:t>
            </w:r>
          </w:p>
        </w:tc>
      </w:tr>
      <w:tr w:rsidR="000C2A7A" w14:paraId="73AB2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73D3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4895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проведении инвентаризации и создании инвентаризационной комиссии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60CD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7C1D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Перед составлением годовой отчётности и в иных обязательных случаях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51DB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2CF6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Ч. 3 ст. 11 № 402-ФЗ; для организаций госсектора — </w:t>
            </w:r>
            <w:proofErr w:type="spellStart"/>
            <w:r>
              <w:rPr>
                <w:sz w:val="18"/>
                <w:szCs w:val="18"/>
              </w:rPr>
              <w:t>пп</w:t>
            </w:r>
            <w:proofErr w:type="spellEnd"/>
            <w:r>
              <w:rPr>
                <w:sz w:val="18"/>
                <w:szCs w:val="18"/>
              </w:rPr>
              <w:t>. 79—82 СГС, утв. приказом Минфина России от 31.12.2016 № 256н; для иных организаций — ФСБУ 28/2023, утв. приказом Минфина России от 13.01.2023 № 4н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C546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FAC8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Основание зависит от формы собственности и применяемой системы учёта. Приказ не заменяет договор о полной материальной ответственности</w:t>
            </w:r>
          </w:p>
        </w:tc>
      </w:tr>
      <w:tr w:rsidR="000C2A7A" w14:paraId="4392E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411E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67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E6A3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назначении материально ответственных лиц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D570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1B23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DD02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8280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244, 245 ТК РФ; перечни и типовые формы договоров, утв. приказом Минтруда России от 16.04.2025 № 251н (с 01.09.2025 до 01.09.2031)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4CB5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AB6C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Договорная полная материальная ответственность за недостачу вверенного имущества возникает из письменного договора, а не из приказа. Постановление Минтруда России от 31.12.2002 № 85 утратило силу с 01.09.2025. Иные основания полной ответственности перечислены в ст. 243 ТК РФ</w:t>
            </w:r>
          </w:p>
        </w:tc>
      </w:tr>
    </w:tbl>
    <w:p w14:paraId="7546BF4B" w14:textId="77777777" w:rsidR="000C2A7A" w:rsidRDefault="000C2A7A"/>
    <w:p w14:paraId="3625A35F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IX. Кадровые вопросы, связанные с организацией учебного года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4FB5BA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9488E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14FA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9418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4016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5D38E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1EF50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6AC4C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CD074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44DF7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FCB5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8B4E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утверждении графика отпусков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FE1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2037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позднее чем за две недели до наступления календарного года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C89B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BC0B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123 ТК РФ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C1B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EFF2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утверждение самого графика с учётом мнения выборного органа первичной профсоюзной организации. Отдельный приказ об утверждении не требуется: достаточно грифа утверждения на графике</w:t>
            </w:r>
          </w:p>
        </w:tc>
      </w:tr>
      <w:tr w:rsidR="000C2A7A" w14:paraId="3E7ED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19F1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2591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проведении аттестации педагогических работников в целях подтверждения соответствия занимаемой должности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1296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EA1B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наличии подлежащих аттестации работников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F045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7023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Ч. 1 ст. 49 № 273-ФЗ; Порядок,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24.03.2023 № 196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C7B8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4ACBF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Аттестация в целях установления квалификационной категории проводится региональной аттестационной комиссией, приказ ДОО для неё не издаётся</w:t>
            </w:r>
          </w:p>
        </w:tc>
      </w:tr>
      <w:tr w:rsidR="000C2A7A" w14:paraId="14791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C3AD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AC3D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приёме на работу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7F89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9228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заключении трудового договора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F901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8329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Ст. 68 ТК РФ: «Работодатель </w:t>
            </w:r>
            <w:r>
              <w:rPr>
                <w:b/>
                <w:bCs/>
                <w:sz w:val="18"/>
                <w:szCs w:val="18"/>
              </w:rPr>
              <w:t>вправе</w:t>
            </w:r>
            <w:r>
              <w:rPr>
                <w:sz w:val="18"/>
                <w:szCs w:val="18"/>
              </w:rPr>
              <w:t xml:space="preserve"> издать… приказ (распоряжение) о приёме на работу»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9184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544B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 22.11.2021 приказ о приёме на работу — право, а не обязанность работодателя. Приём оформляется трудовым договором</w:t>
            </w:r>
          </w:p>
        </w:tc>
      </w:tr>
      <w:tr w:rsidR="000C2A7A" w14:paraId="13573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B671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ED08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увольнении (прекращении трудового договора) и о применении дисциплинарного взыскания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25F2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Обязателен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81C2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соответствующего события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DCF9E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2936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1 ст. 84.1 ТК РФ: «Прекращение трудового договора оформляется приказом (распоряжением) работодателя»; ч. 6 ст. 193 ТК РФ — приказ о применении дисциплинарного взыскания объявляется работнику под подпись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9E8AD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08C6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Кодекс прямо называет приказ. Индивидуальные кадровые приказы в настоящий комплект не включены: они не относятся к организации учебного года</w:t>
            </w:r>
          </w:p>
        </w:tc>
      </w:tr>
      <w:tr w:rsidR="000C2A7A" w14:paraId="13575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BFC3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833D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предоставлении отпуска и о поручении дополнительной работы (совмещение, расширение зон обслуживания)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9486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B389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соответствующего события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7A46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7B7E8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123 ТК РФ (график отпусков и извещение работника); ст. 60.2 и 151 ТК РФ (письменное согласие и дополнительное соглашение)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0E85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E246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Кодексом не предписан. Отпуск предоставляется по графику с извещением работника под подпись; дополнительная работа оформляется письменным согласием, дополнительным соглашением и доплатой. Приказ применяется как удобная форма учёта</w:t>
            </w:r>
          </w:p>
        </w:tc>
      </w:tr>
      <w:tr w:rsidR="000C2A7A" w14:paraId="69D27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AF1A9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5B1C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распределении учебной нагрузки и установлении объёма работы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1901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1545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изменении объёма работы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D57D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06CFC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04.04.2025 № 269 и № 268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1E64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BE66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Изменение объёма работы оформляется дополнительным соглашением, а не только приказом</w:t>
            </w:r>
          </w:p>
        </w:tc>
      </w:tr>
    </w:tbl>
    <w:p w14:paraId="4A507527" w14:textId="77777777" w:rsidR="000C2A7A" w:rsidRDefault="000C2A7A"/>
    <w:p w14:paraId="0BAB24C6" w14:textId="77777777" w:rsidR="000C2A7A" w:rsidRDefault="00000000">
      <w:pPr>
        <w:keepNext/>
        <w:spacing w:before="200" w:after="100"/>
      </w:pPr>
      <w:r>
        <w:rPr>
          <w:b/>
          <w:bCs/>
          <w:sz w:val="22"/>
          <w:szCs w:val="22"/>
        </w:rPr>
        <w:t>X. Содержательные приоритеты и федеральные проекты</w:t>
      </w: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2768"/>
        <w:gridCol w:w="1457"/>
        <w:gridCol w:w="1603"/>
        <w:gridCol w:w="1603"/>
        <w:gridCol w:w="2623"/>
        <w:gridCol w:w="1020"/>
        <w:gridCol w:w="3060"/>
      </w:tblGrid>
      <w:tr w:rsidR="000C2A7A" w14:paraId="47AFD1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E7DF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37C38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приказа</w:t>
            </w:r>
          </w:p>
        </w:tc>
        <w:tc>
          <w:tcPr>
            <w:tcW w:w="14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1441E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EE939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издаётся</w:t>
            </w:r>
          </w:p>
        </w:tc>
        <w:tc>
          <w:tcPr>
            <w:tcW w:w="16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5FDA2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Ежегодно?</w:t>
            </w:r>
          </w:p>
        </w:tc>
        <w:tc>
          <w:tcPr>
            <w:tcW w:w="262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0147B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Нормативное основание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E8A5A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Шаблон</w:t>
            </w:r>
          </w:p>
        </w:tc>
        <w:tc>
          <w:tcPr>
            <w:tcW w:w="3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E661A" w14:textId="77777777" w:rsidR="000C2A7A" w:rsidRDefault="00000000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0C2A7A" w14:paraId="073D3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FB945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68C6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реализации проекта «Добрые игры»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4E0C5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FDCD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877A0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22C8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П. 2.12 плана, утв. распоряжением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25.02.2026 № Р-63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4585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D0A9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Обязанность издавать приказ, утверждать положение или отдельную программу федеральными актами не установлена; материалы оператора носят рекомендательный характер</w:t>
            </w:r>
          </w:p>
        </w:tc>
      </w:tr>
      <w:tr w:rsidR="000C2A7A" w14:paraId="1E462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4361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C6FB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реализации проекта «Орлята-дошколята»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6AB61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Целесообразный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9714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C27E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решению ДОО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3CB38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П. 2.13 плана, утв. распоряжением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25.02.2026 № Р-63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7F84F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DEE2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отличие от «Добрых игр», для этого проекта планом предусмотрена разработка положения — но разработчиком назван оператор проекта, а не ДОО</w:t>
            </w:r>
          </w:p>
        </w:tc>
      </w:tr>
      <w:tr w:rsidR="000C2A7A" w14:paraId="53B1D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51683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7A5F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работы по профилактике безнадзорности и правонарушений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730CD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Условный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7FF2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наличии оснований индивидуальной профилактической работы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4CE2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 наступлении события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60E47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14 № 120-ФЗ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E9EA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90C8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ДОО объём обязанностей существенно уже, чем для школы</w:t>
            </w:r>
          </w:p>
        </w:tc>
      </w:tr>
      <w:tr w:rsidR="000C2A7A" w14:paraId="1BD26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4BB9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27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CAF33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организации работы по противодействию коррупции</w:t>
            </w:r>
          </w:p>
        </w:tc>
        <w:tc>
          <w:tcPr>
            <w:tcW w:w="145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A053A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 действие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769C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Однократно; план — ежегодно</w:t>
            </w:r>
          </w:p>
        </w:tc>
        <w:tc>
          <w:tcPr>
            <w:tcW w:w="16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19364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Нет, действует до отмены/изменения</w:t>
            </w:r>
          </w:p>
        </w:tc>
        <w:tc>
          <w:tcPr>
            <w:tcW w:w="2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04196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Ст. 13.3 № 273-ФЗ «О противодействии коррупции»</w:t>
            </w:r>
          </w:p>
        </w:tc>
        <w:tc>
          <w:tcPr>
            <w:tcW w:w="10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3104AB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0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CBA42" w14:textId="77777777" w:rsidR="000C2A7A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Обязательна разработка и принятие мер; их состав и форма определяются организацией самостоятельно</w:t>
            </w:r>
          </w:p>
        </w:tc>
      </w:tr>
    </w:tbl>
    <w:p w14:paraId="70EA9876" w14:textId="77777777" w:rsidR="000C2A7A" w:rsidRDefault="000C2A7A"/>
    <w:p w14:paraId="72E7E57E" w14:textId="77777777" w:rsidR="000C2A7A" w:rsidRDefault="00000000">
      <w:pPr>
        <w:spacing w:after="120" w:line="264" w:lineRule="auto"/>
        <w:jc w:val="both"/>
      </w:pPr>
      <w:r>
        <w:rPr>
          <w:sz w:val="20"/>
          <w:szCs w:val="20"/>
        </w:rPr>
        <w:t>Полные шаблоны приказов (35 образцов с методическими паспортами) и методическое пособие с разбором типичных ошибок, календарём приказов и чек-листом заведующего представлены отдельными файлами комплекта.</w:t>
      </w:r>
    </w:p>
    <w:sectPr w:rsidR="000C2A7A">
      <w:headerReference w:type="default" r:id="rId8"/>
      <w:footerReference w:type="first" r:id="rId9"/>
      <w:pgSz w:w="16837" w:h="11905" w:orient="landscape"/>
      <w:pgMar w:top="1133" w:right="1133" w:bottom="850" w:left="1133" w:header="566" w:footer="56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D7486" w14:textId="77777777" w:rsidR="004A0171" w:rsidRDefault="004A0171">
      <w:pPr>
        <w:spacing w:line="240" w:lineRule="auto"/>
      </w:pPr>
      <w:r>
        <w:separator/>
      </w:r>
    </w:p>
  </w:endnote>
  <w:endnote w:type="continuationSeparator" w:id="0">
    <w:p w14:paraId="06FDA958" w14:textId="77777777" w:rsidR="004A0171" w:rsidRDefault="004A0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39756" w14:textId="1D6BAF6C" w:rsidR="000C2A7A" w:rsidRDefault="00000000">
    <w:pPr>
      <w:jc w:val="center"/>
    </w:pPr>
    <w:r>
      <w:rPr>
        <w:i/>
        <w:iCs/>
        <w:sz w:val="16"/>
        <w:szCs w:val="16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i/>
        <w:iCs/>
        <w:sz w:val="16"/>
        <w:szCs w:val="16"/>
      </w:rPr>
      <w:t>педпроект.рф</w:t>
    </w:r>
    <w:proofErr w:type="spellEnd"/>
    <w:r>
      <w:rPr>
        <w:i/>
        <w:iCs/>
        <w:sz w:val="16"/>
        <w:szCs w:val="16"/>
      </w:rPr>
      <w:t>.</w:t>
    </w:r>
    <w:r w:rsidR="00082878">
      <w:rPr>
        <w:i/>
        <w:iCs/>
        <w:sz w:val="16"/>
        <w:szCs w:val="16"/>
      </w:rPr>
      <w:t xml:space="preserve">                                                                                                         </w:t>
    </w:r>
    <w:r w:rsidR="00082878" w:rsidRPr="00082878">
      <w:rPr>
        <w:i/>
        <w:iCs/>
        <w:sz w:val="16"/>
        <w:szCs w:val="16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EC714" w14:textId="77777777" w:rsidR="004A0171" w:rsidRDefault="004A0171">
      <w:pPr>
        <w:spacing w:line="240" w:lineRule="auto"/>
      </w:pPr>
      <w:r>
        <w:separator/>
      </w:r>
    </w:p>
  </w:footnote>
  <w:footnote w:type="continuationSeparator" w:id="0">
    <w:p w14:paraId="40D6EF5C" w14:textId="77777777" w:rsidR="004A0171" w:rsidRDefault="004A0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ED94C" w14:textId="77777777" w:rsidR="000C2A7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8287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71D62"/>
    <w:multiLevelType w:val="hybridMultilevel"/>
    <w:tmpl w:val="C77A4706"/>
    <w:lvl w:ilvl="0" w:tplc="48380412">
      <w:start w:val="1"/>
      <w:numFmt w:val="bullet"/>
      <w:lvlText w:val="●"/>
      <w:lvlJc w:val="left"/>
      <w:pPr>
        <w:ind w:left="720" w:hanging="360"/>
      </w:pPr>
    </w:lvl>
    <w:lvl w:ilvl="1" w:tplc="9EBE4FD2">
      <w:start w:val="1"/>
      <w:numFmt w:val="bullet"/>
      <w:lvlText w:val="○"/>
      <w:lvlJc w:val="left"/>
      <w:pPr>
        <w:ind w:left="1440" w:hanging="360"/>
      </w:pPr>
    </w:lvl>
    <w:lvl w:ilvl="2" w:tplc="C2E6695A">
      <w:start w:val="1"/>
      <w:numFmt w:val="bullet"/>
      <w:lvlText w:val="■"/>
      <w:lvlJc w:val="left"/>
      <w:pPr>
        <w:ind w:left="2160" w:hanging="360"/>
      </w:pPr>
    </w:lvl>
    <w:lvl w:ilvl="3" w:tplc="238C18FE">
      <w:start w:val="1"/>
      <w:numFmt w:val="bullet"/>
      <w:lvlText w:val="●"/>
      <w:lvlJc w:val="left"/>
      <w:pPr>
        <w:ind w:left="2880" w:hanging="360"/>
      </w:pPr>
    </w:lvl>
    <w:lvl w:ilvl="4" w:tplc="4BCC4C38">
      <w:start w:val="1"/>
      <w:numFmt w:val="bullet"/>
      <w:lvlText w:val="○"/>
      <w:lvlJc w:val="left"/>
      <w:pPr>
        <w:ind w:left="3600" w:hanging="360"/>
      </w:pPr>
    </w:lvl>
    <w:lvl w:ilvl="5" w:tplc="7F14C2CA">
      <w:start w:val="1"/>
      <w:numFmt w:val="bullet"/>
      <w:lvlText w:val="■"/>
      <w:lvlJc w:val="left"/>
      <w:pPr>
        <w:ind w:left="4320" w:hanging="360"/>
      </w:pPr>
    </w:lvl>
    <w:lvl w:ilvl="6" w:tplc="39CA527A">
      <w:start w:val="1"/>
      <w:numFmt w:val="bullet"/>
      <w:lvlText w:val="●"/>
      <w:lvlJc w:val="left"/>
      <w:pPr>
        <w:ind w:left="5040" w:hanging="360"/>
      </w:pPr>
    </w:lvl>
    <w:lvl w:ilvl="7" w:tplc="6C9035EA">
      <w:start w:val="1"/>
      <w:numFmt w:val="bullet"/>
      <w:lvlText w:val="●"/>
      <w:lvlJc w:val="left"/>
      <w:pPr>
        <w:ind w:left="5760" w:hanging="360"/>
      </w:pPr>
    </w:lvl>
    <w:lvl w:ilvl="8" w:tplc="C88AFE4C">
      <w:start w:val="1"/>
      <w:numFmt w:val="bullet"/>
      <w:lvlText w:val="●"/>
      <w:lvlJc w:val="left"/>
      <w:pPr>
        <w:ind w:left="6480" w:hanging="360"/>
      </w:pPr>
    </w:lvl>
  </w:abstractNum>
  <w:num w:numId="1" w16cid:durableId="1003124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A7A"/>
    <w:rsid w:val="00082878"/>
    <w:rsid w:val="000C2A7A"/>
    <w:rsid w:val="004A0171"/>
    <w:rsid w:val="00C1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FB6F0"/>
  <w15:docId w15:val="{E92983EF-5873-44C3-A621-F6BBF390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240" w:after="20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40" w:after="12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00" w:after="10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82878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82878"/>
  </w:style>
  <w:style w:type="paragraph" w:styleId="ae">
    <w:name w:val="footer"/>
    <w:basedOn w:val="a"/>
    <w:link w:val="af"/>
    <w:uiPriority w:val="99"/>
    <w:unhideWhenUsed/>
    <w:rsid w:val="0008287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8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3563D-E798-42A6-A5C8-9EA4CDA8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4792</Words>
  <Characters>27315</Characters>
  <Application>Microsoft Office Word</Application>
  <DocSecurity>0</DocSecurity>
  <Lines>227</Lines>
  <Paragraphs>64</Paragraphs>
  <ScaleCrop>false</ScaleCrop>
  <Company/>
  <LinksUpToDate>false</LinksUpToDate>
  <CharactersWithSpaces>32043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Навигатор приказов ДОО 2026/2027</dc:title>
  <dc:creator>АНО «Научно-образовательный центр педагогических проектов»</dc:creator>
  <dc:description>Компактная таблица: какой приказ нужен, когда издаётся, нужно ли переиздавать ежегодно, на каком основании</dc:description>
  <cp:lastModifiedBy>АНО «НОЦ ПЕДПРОЕКТОВ»</cp:lastModifiedBy>
  <cp:revision>2</cp:revision>
  <dcterms:created xsi:type="dcterms:W3CDTF">2026-09-09T07:24:00Z</dcterms:created>
  <dcterms:modified xsi:type="dcterms:W3CDTF">2026-09-09T09:04:00Z</dcterms:modified>
</cp:coreProperties>
</file>