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</w:rPr>
        <w:t xml:space="preserve">Муниципальное автономное дошкольное образовательное учреждение</w:t>
      </w:r>
    </w:p>
    <w:p>
      <w:pPr>
        <w:spacing w:after="60"/>
        <w:jc w:val="center"/>
      </w:pPr>
      <w:r>
        <w:rPr>
          <w:b/>
          <w:bCs/>
        </w:rPr>
        <w:t xml:space="preserve">«Детский сад комбинированного вида „Радуга“ № 12»</w:t>
      </w:r>
    </w:p>
    <w:p>
      <w:pPr>
        <w:spacing w:after="360"/>
        <w:jc w:val="center"/>
      </w:pPr>
      <w:r>
        <w:rPr>
          <w:i/>
          <w:iCs/>
        </w:rPr>
        <w:t xml:space="preserve">(МАДОУ «Радуга» № 12)</w:t>
      </w:r>
    </w:p>
    <w:p>
      <w:pPr>
        <w:spacing w:after="60"/>
        <w:jc w:val="center"/>
      </w:pPr>
      <w:r>
        <w:rPr>
          <w:b/>
          <w:bCs/>
          <w:sz w:val="30"/>
          <w:szCs w:val="30"/>
        </w:rPr>
        <w:t xml:space="preserve">АНАЛИТИЧЕСКАЯ СПРАВКА</w:t>
      </w:r>
    </w:p>
    <w:p>
      <w:pPr>
        <w:spacing w:after="60"/>
        <w:jc w:val="center"/>
      </w:pPr>
      <w:r>
        <w:rPr>
          <w:b/>
          <w:bCs/>
          <w:sz w:val="26"/>
          <w:szCs w:val="26"/>
        </w:rPr>
        <w:t xml:space="preserve">«Результаты воспитательно-образовательной деятельности</w:t>
      </w:r>
    </w:p>
    <w:p>
      <w:pPr>
        <w:spacing w:after="240"/>
        <w:jc w:val="center"/>
      </w:pPr>
      <w:r>
        <w:rPr>
          <w:b/>
          <w:bCs/>
          <w:sz w:val="26"/>
          <w:szCs w:val="26"/>
        </w:rPr>
        <w:t xml:space="preserve">МАДОУ „Радуга“ № 12 за 2025/26 учебный год»</w:t>
      </w:r>
    </w:p>
    <w:p>
      <w:pPr>
        <w:spacing w:after="360"/>
        <w:jc w:val="center"/>
      </w:pPr>
      <w:r>
        <w:rPr>
          <w:i/>
          <w:iCs/>
        </w:rPr>
        <w:t xml:space="preserve">г. Заречный, 2026</w:t>
      </w:r>
    </w:p>
    <w:p>
      <w:pPr>
        <w:pStyle w:val="Heading2"/>
      </w:pPr>
      <w:r>
        <w:t xml:space="preserve">Пояснительная записка</w:t>
      </w:r>
    </w:p>
    <w:p>
      <w:pPr>
        <w:spacing w:after="120" w:line="300"/>
        <w:ind w:firstLine="567"/>
      </w:pPr>
      <w:r>
        <w:rPr>
          <w:b/>
          <w:bCs/>
        </w:rPr>
        <w:t xml:space="preserve">Цель анализа: </w:t>
      </w:r>
      <w:r>
        <w:t xml:space="preserve">оценить результаты воспитательно-образовательной деятельности МАДОУ «Радуга» № 12 (далее — ДОО) за 2025/26 учебный год, выявить ключевые проблемы и наметить пути их решения в новом учебном году.</w:t>
      </w:r>
    </w:p>
    <w:p>
      <w:pPr>
        <w:spacing w:after="120" w:line="300"/>
        <w:ind w:firstLine="567"/>
      </w:pPr>
      <w:r>
        <w:rPr>
          <w:b/>
          <w:bCs/>
        </w:rPr>
        <w:t xml:space="preserve">Сроки проведения анализа: </w:t>
      </w:r>
      <w:r>
        <w:t xml:space="preserve">19.05.2026 — 25.05.2026.</w:t>
      </w:r>
    </w:p>
    <w:p>
      <w:pPr>
        <w:spacing w:after="120" w:line="300"/>
        <w:ind w:firstLine="567"/>
      </w:pPr>
      <w:r>
        <w:rPr>
          <w:b/>
          <w:bCs/>
        </w:rPr>
        <w:t xml:space="preserve">Нормативное основание: </w:t>
      </w:r>
      <w:r>
        <w:t xml:space="preserve">ФЗ от 29.12.2012 № 273-ФЗ; ФГОС ДО; ФОП ДО (приказ Минпросвещения России от 25.11.2022 № 1028); ФАОП ДО (приказ Минпросвещения России от 24.11.2022 № 1022); Рабочая программа воспитания ДОО.</w:t>
      </w:r>
    </w:p>
    <w:p>
      <w:pPr>
        <w:pStyle w:val="Heading3"/>
      </w:pPr>
      <w:r>
        <w:t xml:space="preserve">Объекты анализа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система оздоровительной работы с воспитанниками;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реализация ОП ДО (с учётом ФОП ДО, ФАОП ДО);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уровень развития воспитанников-выпускников и их готовность к школьному обучению;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повышение профессиональной компетентности педагогов;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взаимодействие с семьями воспитанников и сетевое взаимодействие;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реализация Рабочей программы воспитания и календарного плана воспитательной работы.</w:t>
      </w:r>
    </w:p>
    <w:p>
      <w:pPr>
        <w:pStyle w:val="Heading3"/>
      </w:pPr>
      <w:r>
        <w:t xml:space="preserve">Задачи мониторинга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изучить итоги реализации ОП ДО, разработанной по ФОП ДО;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сравнить результаты с предыдущим учебным годом, оценить динамику;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оценить тенденции развития воспитательного процесса;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выявить дефициты и сформулировать задачи на 2026/27 учебный год.</w:t>
      </w:r>
    </w:p>
    <w:p>
      <w:pPr>
        <w:spacing w:after="120" w:line="300"/>
        <w:ind w:firstLine="567"/>
      </w:pPr>
      <w:r>
        <w:rPr>
          <w:b/>
          <w:bCs/>
        </w:rPr>
        <w:t xml:space="preserve">Методы анализа: </w:t>
      </w:r>
      <w:r>
        <w:t xml:space="preserve">SWOT-анализ, педагогический мониторинг, анкетирование, наблюдение, анализ статистических данных.</w:t>
      </w:r>
    </w:p>
    <w:p>
      <w:pPr>
        <w:pStyle w:val="Heading2"/>
      </w:pPr>
      <w:r>
        <w:t xml:space="preserve">1. Система оздоровительной работы с воспитанниками</w:t>
      </w:r>
    </w:p>
    <w:p>
      <w:pPr>
        <w:spacing w:after="120" w:line="300"/>
        <w:ind w:firstLine="567"/>
      </w:pPr>
      <w:r>
        <w:t xml:space="preserve">В 2025/26 учебном году в ДОО реализована продуманная система оздоровительной работы. Деятельность велась по следующим направлениям: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соблюдение режима дня и гигиенических требований;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утренняя гимнастика и оздоровительная гимнастика пробуждения;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оптимизация двигательного режима в группах и на прогулке;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закаливающие процедуры в течение дня;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организация рационального сбалансированного питания;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профилактика ОРВИ и иной инфекционной заболеваемости.</w:t>
      </w:r>
    </w:p>
    <w:p>
      <w:pPr>
        <w:spacing w:after="120" w:line="300"/>
        <w:ind w:firstLine="567"/>
      </w:pPr>
      <w:r>
        <w:t xml:space="preserve">Списочный состав на конец 2025/26 учебного года — 171 воспитанник.</w:t>
      </w:r>
    </w:p>
    <w:p>
      <w:pPr>
        <w:pStyle w:val="Heading3"/>
      </w:pPr>
      <w:r>
        <w:t xml:space="preserve">Распределение воспитанников по группам здоровья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1876"/>
        <w:gridCol w:w="1876"/>
        <w:gridCol w:w="1874"/>
      </w:tblGrid>
      <w:tr>
        <w:trPr>
          <w:tblHeader/>
        </w:trP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Параметр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2023/24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2024/25</w:t>
            </w:r>
          </w:p>
        </w:tc>
        <w:tc>
          <w:tcPr>
            <w:tcW w:type="dxa" w:w="187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2025/26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Количество воспитанников, чел.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138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133</w:t>
            </w:r>
          </w:p>
        </w:tc>
        <w:tc>
          <w:tcPr>
            <w:tcW w:type="dxa" w:w="187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171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1-я группа здоровья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90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95</w:t>
            </w:r>
          </w:p>
        </w:tc>
        <w:tc>
          <w:tcPr>
            <w:tcW w:type="dxa" w:w="187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134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2-я группа здоровья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38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33</w:t>
            </w:r>
          </w:p>
        </w:tc>
        <w:tc>
          <w:tcPr>
            <w:tcW w:type="dxa" w:w="187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36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3-я группа здоровья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10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5</w:t>
            </w:r>
          </w:p>
        </w:tc>
        <w:tc>
          <w:tcPr>
            <w:tcW w:type="dxa" w:w="187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4-я группа здоровья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—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—</w:t>
            </w:r>
          </w:p>
        </w:tc>
        <w:tc>
          <w:tcPr>
            <w:tcW w:type="dxa" w:w="187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—</w:t>
            </w:r>
          </w:p>
        </w:tc>
      </w:tr>
    </w:tbl>
    <w:p>
      <w:pPr>
        <w:spacing w:after="100"/>
      </w:pPr>
      <w:r>
        <w:t xml:space="preserve"/>
      </w:r>
    </w:p>
    <w:p>
      <w:pPr>
        <w:spacing w:after="120" w:line="300"/>
        <w:ind w:firstLine="567"/>
      </w:pPr>
      <w:r>
        <w:t xml:space="preserve">Заболеваемость в целом по ДОО в 2025/26 учебном году — 6 %, что на 3 % ниже показателя предыдущего года. Случаев массовых вспышек ОРВИ не зафиксировано. Основной процент заболеваний приходится на детей с хроническими заболеваниями.</w:t>
      </w:r>
    </w:p>
    <w:p>
      <w:pPr>
        <w:pStyle w:val="Heading3"/>
      </w:pPr>
      <w:r>
        <w:t xml:space="preserve">Динамика заболеваемости и посещаемости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2300"/>
        <w:gridCol w:w="2326"/>
      </w:tblGrid>
      <w:tr>
        <w:trPr>
          <w:tblHeader/>
        </w:trP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Параметр</w:t>
            </w:r>
          </w:p>
        </w:tc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2024/25</w:t>
            </w:r>
          </w:p>
        </w:tc>
        <w:tc>
          <w:tcPr>
            <w:tcW w:type="dxa" w:w="23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2025/26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Среднегодовая численность воспитанников</w:t>
            </w:r>
          </w:p>
        </w:tc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141</w:t>
            </w:r>
          </w:p>
        </w:tc>
        <w:tc>
          <w:tcPr>
            <w:tcW w:type="dxa" w:w="23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171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Число пропусков по болезни (дето-дней)</w:t>
            </w:r>
          </w:p>
        </w:tc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870</w:t>
            </w:r>
          </w:p>
        </w:tc>
        <w:tc>
          <w:tcPr>
            <w:tcW w:type="dxa" w:w="23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920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Среднее число пропусков на одного ребёнка</w:t>
            </w:r>
          </w:p>
        </w:tc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12</w:t>
            </w:r>
          </w:p>
        </w:tc>
        <w:tc>
          <w:tcPr>
            <w:tcW w:type="dxa" w:w="23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14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Число случаев заболеваний за год</w:t>
            </w:r>
          </w:p>
        </w:tc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90</w:t>
            </w:r>
          </w:p>
        </w:tc>
        <w:tc>
          <w:tcPr>
            <w:tcW w:type="dxa" w:w="23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68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Среднее число случаев на одного ребёнка</w:t>
            </w:r>
          </w:p>
        </w:tc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5</w:t>
            </w:r>
          </w:p>
        </w:tc>
        <w:tc>
          <w:tcPr>
            <w:tcW w:type="dxa" w:w="23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2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Количество часто болеющих детей</w:t>
            </w:r>
          </w:p>
        </w:tc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50</w:t>
            </w:r>
          </w:p>
        </w:tc>
        <w:tc>
          <w:tcPr>
            <w:tcW w:type="dxa" w:w="23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47</w:t>
            </w:r>
          </w:p>
        </w:tc>
      </w:tr>
      <w:tr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Процент посещаемости за год</w:t>
            </w:r>
          </w:p>
        </w:tc>
        <w:tc>
          <w:tcPr>
            <w:tcW w:type="dxa" w:w="2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80 %</w:t>
            </w:r>
          </w:p>
        </w:tc>
        <w:tc>
          <w:tcPr>
            <w:tcW w:type="dxa" w:w="23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85 %</w:t>
            </w:r>
          </w:p>
        </w:tc>
      </w:tr>
    </w:tbl>
    <w:p>
      <w:pPr>
        <w:spacing w:after="100"/>
      </w:pPr>
      <w:r>
        <w:t xml:space="preserve"/>
      </w:r>
    </w:p>
    <w:p>
      <w:pPr>
        <w:spacing w:after="120" w:line="300"/>
        <w:ind w:firstLine="567"/>
      </w:pPr>
      <w:r>
        <w:t xml:space="preserve">План профилактических прививок выполнен на 93 %. С часто болеющими детьми (ЧБД) проводилась индивидуальная оздоровительная работа: щадящий режим адаптации, чёткое соблюдение питьевого режима, кварцевание помещений в периоды высокой эпидемиологической опасности.</w:t>
      </w:r>
    </w:p>
    <w:p>
      <w:pPr>
        <w:spacing w:after="120" w:line="300"/>
        <w:ind w:firstLine="567"/>
      </w:pPr>
      <w:r>
        <w:rPr>
          <w:b/>
          <w:bCs/>
        </w:rPr>
        <w:t xml:space="preserve">Вывод. </w:t>
      </w:r>
      <w:r>
        <w:t xml:space="preserve">Положительные результаты работы по сохранению и укреплению здоровья воспитанников: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увеличение индекса здоровья на 5 % к показателю прошлого года;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отсутствие травм среди воспитанников;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рост числа детей с 1-й группой здоровья;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снижение числа детей с 3-й группой здоровья;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снижение заболеваемости инфекционными и соматическими заболеваниями;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средняя посещаемость ДОО — 80–85 %.</w:t>
      </w:r>
    </w:p>
    <w:p>
      <w:pPr>
        <w:spacing w:after="120" w:line="300"/>
        <w:ind w:firstLine="567"/>
      </w:pPr>
      <w:r>
        <w:t xml:space="preserve">Сохраняется задача дальнейшего внедрения индивидуально ориентированных форм здоровьесбережения для воспитанников с хроническими заболеваниями, в том числе через адаптированную физкультурно-оздоровительную работу.</w:t>
      </w:r>
    </w:p>
    <w:p>
      <w:pPr>
        <w:pStyle w:val="Heading2"/>
      </w:pPr>
      <w:r>
        <w:t xml:space="preserve">2. Реализация образовательной программы (ОП ДО с учётом ФОП ДО)</w:t>
      </w:r>
    </w:p>
    <w:p>
      <w:pPr>
        <w:spacing w:after="120" w:line="300"/>
        <w:ind w:firstLine="567"/>
      </w:pPr>
      <w:r>
        <w:t xml:space="preserve">Уровень освоения ОП ДО проанализирован по итогам педагогической диагностики, в основе которой — наблюдение в естественных образовательных ситуациях. Формы проведения: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диагностические занятия по каждой образовательной области;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целенаправленное наблюдение в свободной игре, режимных моментах и совместной деятельности;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итоговые занятия в каждой возрастной группе.</w:t>
      </w:r>
    </w:p>
    <w:p>
      <w:pPr>
        <w:spacing w:after="120" w:line="300"/>
        <w:ind w:firstLine="567"/>
      </w:pPr>
      <w:r>
        <w:t xml:space="preserve">В соответствии с ФОП ДО результаты педагогической диагностики используются исключительно для индивидуализации образования и оптимизации работы с группой. Они не служат основанием для оценки качества работы воспитателя.</w:t>
      </w:r>
    </w:p>
    <w:p>
      <w:pPr>
        <w:spacing w:after="120" w:line="300"/>
        <w:ind w:firstLine="567"/>
      </w:pPr>
      <w:r>
        <w:t xml:space="preserve">Диагностические карты охватывают пять образовательных областей и целевые ориентиры дошкольного возраста. По итогам конца учебного года выявлен значимый прирост числа воспитанников, демонстрирующих высокий уровень освоения программы, и снижение числа детей с низким уровнем.</w:t>
      </w:r>
    </w:p>
    <w:p>
      <w:pPr>
        <w:pStyle w:val="Heading3"/>
      </w:pPr>
      <w:r>
        <w:t xml:space="preserve">Уровень освоения ОП ДО (сводно по группам, на конец 2025/26 уч. г.)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1876"/>
        <w:gridCol w:w="1876"/>
        <w:gridCol w:w="1874"/>
      </w:tblGrid>
      <w:tr>
        <w:trPr>
          <w:tblHeader/>
        </w:trP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Образовательная область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Высокий, %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Средний, %</w:t>
            </w:r>
          </w:p>
        </w:tc>
        <w:tc>
          <w:tcPr>
            <w:tcW w:type="dxa" w:w="187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Низкий, %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Социально-коммуникативное развитие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64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32</w:t>
            </w:r>
          </w:p>
        </w:tc>
        <w:tc>
          <w:tcPr>
            <w:tcW w:type="dxa" w:w="187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4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Познавательное развитие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62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31</w:t>
            </w:r>
          </w:p>
        </w:tc>
        <w:tc>
          <w:tcPr>
            <w:tcW w:type="dxa" w:w="187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7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Речевое развитие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58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34</w:t>
            </w:r>
          </w:p>
        </w:tc>
        <w:tc>
          <w:tcPr>
            <w:tcW w:type="dxa" w:w="187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8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Художественно-эстетическое развитие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67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28</w:t>
            </w:r>
          </w:p>
        </w:tc>
        <w:tc>
          <w:tcPr>
            <w:tcW w:type="dxa" w:w="187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5</w:t>
            </w:r>
          </w:p>
        </w:tc>
      </w:tr>
      <w:tr>
        <w:tc>
          <w:tcPr>
            <w:tcW w:type="dxa" w:w="3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Физическое развитие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70</w:t>
            </w:r>
          </w:p>
        </w:tc>
        <w:tc>
          <w:tcPr>
            <w:tcW w:type="dxa" w:w="187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26</w:t>
            </w:r>
          </w:p>
        </w:tc>
        <w:tc>
          <w:tcPr>
            <w:tcW w:type="dxa" w:w="1874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4</w:t>
            </w:r>
          </w:p>
        </w:tc>
      </w:tr>
    </w:tbl>
    <w:p>
      <w:pPr>
        <w:spacing w:after="100"/>
      </w:pPr>
      <w:r>
        <w:t xml:space="preserve"/>
      </w:r>
    </w:p>
    <w:p>
      <w:pPr>
        <w:spacing w:after="120" w:line="300"/>
        <w:ind w:firstLine="567"/>
      </w:pPr>
      <w:r>
        <w:rPr>
          <w:b/>
          <w:bCs/>
        </w:rPr>
        <w:t xml:space="preserve">Вывод. </w:t>
      </w:r>
      <w:r>
        <w:t xml:space="preserve">По всем пяти образовательным областям прослеживается устойчивая положительная динамика. Воспитательно-образовательная работа велась с учётом возрастных и индивидуальных особенностей детей.</w:t>
      </w:r>
    </w:p>
    <w:p>
      <w:pPr>
        <w:pStyle w:val="Heading2"/>
      </w:pPr>
      <w:r>
        <w:t xml:space="preserve">3. Уровень развития воспитанников-выпускников</w:t>
      </w:r>
    </w:p>
    <w:p>
      <w:pPr>
        <w:spacing w:after="120" w:line="300"/>
        <w:ind w:firstLine="567"/>
      </w:pPr>
      <w:r>
        <w:t xml:space="preserve">Диагностика выпускников проводилась в два этапа на базе подготовительных к школе групп № 2, 6, 7 (всего 69 воспитанников). Использовался методический комплект Н. Н. Павловой, Л. Г. Руденко «Экспресс-диагностика в детском саду».</w:t>
      </w:r>
    </w:p>
    <w:p>
      <w:pPr>
        <w:pStyle w:val="Heading3"/>
      </w:pPr>
      <w:r>
        <w:t xml:space="preserve">Этап 1 (декабрь 2025 г., промежуточный срез)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высокий уровень готовности — 32 %;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средний уровень — 60 %;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низкий уровень — 8 %.</w:t>
      </w:r>
    </w:p>
    <w:p>
      <w:pPr>
        <w:pStyle w:val="Heading3"/>
      </w:pPr>
      <w:r>
        <w:t xml:space="preserve">Этап 2 (апрель — май 2026 г., итоговый срез)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высокий уровень готовности — 44 %;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средний уровень — 52 %;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низкий уровень — 4 %.</w:t>
      </w:r>
    </w:p>
    <w:p>
      <w:pPr>
        <w:spacing w:after="120" w:line="300"/>
        <w:ind w:firstLine="567"/>
      </w:pPr>
      <w:r>
        <w:t xml:space="preserve">С детьми, показавшими низкий уровень готовности, на протяжении второго полугодия педагог-психолог В.А. Соломатина и учитель-логопед Ю.М. Бережная вели индивидуальные коррекционно-развивающие занятия. По результатам итоговой диагностики количество таких детей сократилось вдвое.</w:t>
      </w:r>
    </w:p>
    <w:p>
      <w:pPr>
        <w:spacing w:after="120" w:line="300"/>
        <w:ind w:firstLine="567"/>
      </w:pPr>
      <w:r>
        <w:t xml:space="preserve">По образовательным областям зафиксирован значимый прирост числа выпускников с высоким уровнем — до 70 % по отдельным показателям. Доля детей с низким уровнем не превышает 13 %.</w:t>
      </w:r>
    </w:p>
    <w:p>
      <w:pPr>
        <w:spacing w:after="120" w:line="300"/>
        <w:ind w:firstLine="567"/>
      </w:pPr>
      <w:r>
        <w:rPr>
          <w:b/>
          <w:bCs/>
        </w:rPr>
        <w:t xml:space="preserve">Вывод. </w:t>
      </w:r>
      <w:r>
        <w:t xml:space="preserve">Показатели готовности воспитанников-выпускников к школьному обучению демонстрируют устойчивый рост, что свидетельствует о качественном психолого-педагогическом сопровождении и системном выстраивании образовательного процесса.</w:t>
      </w:r>
    </w:p>
    <w:p>
      <w:pPr>
        <w:pStyle w:val="Heading2"/>
      </w:pPr>
      <w:r>
        <w:t xml:space="preserve">4. Повышение профессиональной компетентности педагогов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126"/>
        <w:gridCol w:w="2000"/>
        <w:gridCol w:w="2000"/>
      </w:tblGrid>
      <w:tr>
        <w:trPr>
          <w:tblHeader/>
        </w:trPr>
        <w:tc>
          <w:tcPr>
            <w:tcW w:type="dxa" w:w="5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Показатель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2024/25, чел.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2025/26, чел.</w:t>
            </w:r>
          </w:p>
        </w:tc>
      </w:tr>
      <w:tr>
        <w:tc>
          <w:tcPr>
            <w:tcW w:type="dxa" w:w="5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Обучение в вузе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—</w:t>
            </w:r>
          </w:p>
        </w:tc>
      </w:tr>
      <w:tr>
        <w:tc>
          <w:tcPr>
            <w:tcW w:type="dxa" w:w="5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Профессиональная переподготовка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—</w:t>
            </w:r>
          </w:p>
        </w:tc>
      </w:tr>
      <w:tr>
        <w:tc>
          <w:tcPr>
            <w:tcW w:type="dxa" w:w="5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Курсы повышения квалификации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3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5</w:t>
            </w:r>
          </w:p>
        </w:tc>
      </w:tr>
      <w:tr>
        <w:tc>
          <w:tcPr>
            <w:tcW w:type="dxa" w:w="5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Прохождение аттестации (всего)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8</w:t>
            </w:r>
          </w:p>
        </w:tc>
      </w:tr>
      <w:tr>
        <w:tc>
          <w:tcPr>
            <w:tcW w:type="dxa" w:w="5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Участие в очных и онлайн-семинарах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5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6</w:t>
            </w:r>
          </w:p>
        </w:tc>
      </w:tr>
      <w:tr>
        <w:tc>
          <w:tcPr>
            <w:tcW w:type="dxa" w:w="5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Посещение методических объединений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5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6</w:t>
            </w:r>
          </w:p>
        </w:tc>
      </w:tr>
      <w:tr>
        <w:tc>
          <w:tcPr>
            <w:tcW w:type="dxa" w:w="5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Обмен опытом (конференции, форумы, круглые столы)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4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4</w:t>
            </w:r>
          </w:p>
        </w:tc>
      </w:tr>
      <w:tr>
        <w:tc>
          <w:tcPr>
            <w:tcW w:type="dxa" w:w="5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Публикации в профессиональных изданиях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4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4</w:t>
            </w:r>
          </w:p>
        </w:tc>
      </w:tr>
      <w:tr>
        <w:tc>
          <w:tcPr>
            <w:tcW w:type="dxa" w:w="5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Участие в конкурсах: муниципальный уровень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8</w:t>
            </w:r>
          </w:p>
        </w:tc>
      </w:tr>
      <w:tr>
        <w:tc>
          <w:tcPr>
            <w:tcW w:type="dxa" w:w="5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Участие в конкурсах: региональный уровень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5</w:t>
            </w:r>
          </w:p>
        </w:tc>
      </w:tr>
      <w:tr>
        <w:tc>
          <w:tcPr>
            <w:tcW w:type="dxa" w:w="5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Участие в конкурсах: федеральный уровень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—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3</w:t>
            </w:r>
          </w:p>
        </w:tc>
      </w:tr>
      <w:tr>
        <w:tc>
          <w:tcPr>
            <w:tcW w:type="dxa" w:w="5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Участие педагогов и воспитанников в совместных мероприятиях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6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9</w:t>
            </w:r>
          </w:p>
        </w:tc>
      </w:tr>
    </w:tbl>
    <w:p>
      <w:pPr>
        <w:spacing w:after="100"/>
      </w:pPr>
      <w:r>
        <w:t xml:space="preserve"/>
      </w:r>
    </w:p>
    <w:p>
      <w:pPr>
        <w:spacing w:after="120" w:line="300"/>
        <w:ind w:firstLine="567"/>
      </w:pPr>
      <w:r>
        <w:rPr>
          <w:b/>
          <w:bCs/>
        </w:rPr>
        <w:t xml:space="preserve">Вывод. </w:t>
      </w:r>
      <w:r>
        <w:t xml:space="preserve">Зафиксирована высокая активность педагогов: в конкурсах различного уровня приняли участие 70 % коллектива. Создан банк проектов «Развитие математических способностей дошкольников через игровые технологии» с авторскими методическими разработками.</w:t>
      </w:r>
    </w:p>
    <w:p>
      <w:pPr>
        <w:spacing w:after="120" w:line="300"/>
        <w:ind w:firstLine="567"/>
      </w:pPr>
      <w:r>
        <w:t xml:space="preserve">В 2025/26 учебном году аттестацию прошли 8 педагогов (25 % — на соответствие занимаемой должности, 3 % — на высшую квалификационную категорию).</w:t>
      </w:r>
    </w:p>
    <w:p>
      <w:pPr>
        <w:spacing w:after="120" w:line="300"/>
        <w:ind w:firstLine="567"/>
      </w:pPr>
      <w:r>
        <w:t xml:space="preserve">Системные положительные результаты: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повышение уровня профессиональной компетентности через самообразование и курсы повышения квалификации;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рост творческой активности педагогов: участие в конкурсах, организация открытых мероприятий, реализация проектов;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активная трансляция опыта (мастер-классы внутри ДОО, публикации, выступления на муниципальных и региональных площадках, размещение материалов в профессиональных интернет-сообществах).</w:t>
      </w:r>
    </w:p>
    <w:p>
      <w:pPr>
        <w:pStyle w:val="Heading2"/>
      </w:pPr>
      <w:r>
        <w:t xml:space="preserve">5. Взаимодействие с семьями воспитанников и сетевое взаимодействие</w:t>
      </w:r>
    </w:p>
    <w:p>
      <w:pPr>
        <w:pStyle w:val="Heading3"/>
      </w:pPr>
      <w:r>
        <w:t xml:space="preserve">5.1. Взаимодействие с семьями</w:t>
      </w:r>
    </w:p>
    <w:p>
      <w:pPr>
        <w:spacing w:after="120" w:line="300"/>
        <w:ind w:firstLine="567"/>
      </w:pPr>
      <w:r>
        <w:t xml:space="preserve">В 2025/26 учебном году родители воспитанников активно участвовали в воспитательно-образовательном процессе. Уровни информированности и вовлечённости определены по итогам анкетирования.</w:t>
      </w:r>
    </w:p>
    <w:p>
      <w:pPr>
        <w:spacing w:after="120" w:line="300"/>
        <w:ind w:firstLine="567"/>
      </w:pPr>
      <w:r>
        <w:t xml:space="preserve">В марте 2026 года проведено анкетирование по итогам учебного года: опрошены 147 родителей из 200 семей (охват — 73,5 %).</w:t>
      </w:r>
    </w:p>
    <w:p>
      <w:pPr>
        <w:pStyle w:val="Heading3"/>
      </w:pPr>
      <w:r>
        <w:t xml:space="preserve">Ключевые показатели удовлетворённости семей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26"/>
        <w:gridCol w:w="1500"/>
        <w:gridCol w:w="1500"/>
      </w:tblGrid>
      <w:tr>
        <w:trPr>
          <w:tblHeader/>
        </w:trPr>
        <w:tc>
          <w:tcPr>
            <w:tcW w:type="dxa" w:w="6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Показатель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2024/25, %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2025/26, %</w:t>
            </w:r>
          </w:p>
        </w:tc>
      </w:tr>
      <w:tr>
        <w:tc>
          <w:tcPr>
            <w:tcW w:type="dxa" w:w="6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Удовлетворённость организацией работы педагогического коллектива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67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70</w:t>
            </w:r>
          </w:p>
        </w:tc>
      </w:tr>
      <w:tr>
        <w:tc>
          <w:tcPr>
            <w:tcW w:type="dxa" w:w="6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Высокая оценка профессионализма педагогов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93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96</w:t>
            </w:r>
          </w:p>
        </w:tc>
      </w:tr>
      <w:tr>
        <w:tc>
          <w:tcPr>
            <w:tcW w:type="dxa" w:w="6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Положительная оценка совместных мероприятий (праздники, выставки, проекты)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69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72</w:t>
            </w:r>
          </w:p>
        </w:tc>
      </w:tr>
      <w:tr>
        <w:tc>
          <w:tcPr>
            <w:tcW w:type="dxa" w:w="6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Готовность участвовать в проектной деятельности с ребёнком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54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64</w:t>
            </w:r>
          </w:p>
        </w:tc>
      </w:tr>
      <w:tr>
        <w:tc>
          <w:tcPr>
            <w:tcW w:type="dxa" w:w="6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Готовность рекомендовать ДОО другим семьям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88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92</w:t>
            </w:r>
          </w:p>
        </w:tc>
      </w:tr>
    </w:tbl>
    <w:p>
      <w:pPr>
        <w:spacing w:after="100"/>
      </w:pPr>
      <w:r>
        <w:t xml:space="preserve"/>
      </w:r>
    </w:p>
    <w:p>
      <w:pPr>
        <w:spacing w:after="120" w:line="300"/>
        <w:ind w:firstLine="567"/>
      </w:pPr>
      <w:r>
        <w:rPr>
          <w:b/>
          <w:bCs/>
        </w:rPr>
        <w:t xml:space="preserve">Вывод. </w:t>
      </w:r>
      <w:r>
        <w:t xml:space="preserve">Уровень удовлетворённости семей качеством деятельности ДОО — 70 % опрошенных оценили работу как высокую. Это свидетельствует о результативности педагогического коллектива в 2025/26 учебном году.</w:t>
      </w:r>
    </w:p>
    <w:p>
      <w:pPr>
        <w:spacing w:after="120" w:line="300"/>
        <w:ind w:firstLine="567"/>
      </w:pPr>
      <w:r>
        <w:t xml:space="preserve">Рекомендации педагогам на 2026/27 учебный год: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продолжить просветительскую работу с родителями (раннее информирование о направлениях деятельности ДОО, целях развития и воспитания);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активнее использовать форматы со-творчества: совместные проекты, мастер-классы, тематические праздники, выставки, конкурсы, проекты благоустройства групп и территории;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развивать цифровые форматы взаимодействия (закрытые группы, рассылки, видеоконсультации) с учётом запросов семей.</w:t>
      </w:r>
    </w:p>
    <w:p>
      <w:pPr>
        <w:pStyle w:val="Heading3"/>
      </w:pPr>
      <w:r>
        <w:t xml:space="preserve">5.2. Сетевое взаимодействие</w:t>
      </w:r>
    </w:p>
    <w:p>
      <w:pPr>
        <w:spacing w:after="120" w:line="300"/>
        <w:ind w:firstLine="567"/>
      </w:pPr>
      <w:r>
        <w:t xml:space="preserve">В течение учебного года ДОО реализовала договоры о сотрудничестве со следующими социальными партнёрами: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СОШ № 27 г. Заречного (преемственность);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Пожарная часть № 9 (профилактика ПБ, экскурсии);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Центральная городская детская библиотека им. К.Г. Паустовского (читательские проекты);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Заречный историко-краеведческий музей (краеведческое и патриотическое воспитание);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Спортивная школа «Олимп» (физкультурные мероприятия и турниры);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Детская школа искусств № 3 (художественно-эстетическое развитие).</w:t>
      </w:r>
    </w:p>
    <w:p>
      <w:pPr>
        <w:spacing w:after="120" w:line="300"/>
        <w:ind w:firstLine="567"/>
      </w:pPr>
      <w:r>
        <w:t xml:space="preserve">Согласно плану работы запланированные мероприятия выполнены на 95 %; одно мероприятие не состоялось по объективной причине (карантин по гриппу в партнёрской школе).</w:t>
      </w:r>
    </w:p>
    <w:p>
      <w:pPr>
        <w:pStyle w:val="Heading2"/>
      </w:pPr>
      <w:r>
        <w:t xml:space="preserve">6. Реализация Рабочей программы воспитания</w:t>
      </w:r>
    </w:p>
    <w:p>
      <w:pPr>
        <w:spacing w:after="120" w:line="300"/>
        <w:ind w:firstLine="567"/>
      </w:pPr>
      <w:r>
        <w:t xml:space="preserve">Календарный план воспитательной работы реализован в полном объёме. Ключевые направления — гражданско-патриотическое, духовно-нравственное, социальное, познавательное, физическое и оздоровительное, трудовое, эстетическое.</w:t>
      </w:r>
    </w:p>
    <w:p>
      <w:pPr>
        <w:spacing w:after="120" w:line="300"/>
        <w:ind w:firstLine="567"/>
      </w:pPr>
      <w:r>
        <w:t xml:space="preserve">Реализованные ключевые мероприятия: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акции и проекты к памятным датам России (Дню народного единства, Дню защитника Отечества, Дню Победы, Дню России);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проекты «Семья — главная ценность» и «Мой родной Заречный край»;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экологическая акция «Зелёный двор» совместно с родителями;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фестиваль детских проектов «Открываем мир» (по образовательным областям);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реализация проектов «Добрые игры» и «Орлята-дошколята» с 1 сентября 2026 года — в стадии подготовки.</w:t>
      </w:r>
    </w:p>
    <w:p>
      <w:pPr>
        <w:pStyle w:val="Heading2"/>
      </w:pPr>
      <w:r>
        <w:t xml:space="preserve">Выводы и рекомендации</w:t>
      </w:r>
    </w:p>
    <w:p>
      <w:pPr>
        <w:spacing w:after="120" w:line="300"/>
        <w:ind w:firstLine="567"/>
      </w:pPr>
      <w:r>
        <w:t xml:space="preserve">Результаты работы ДОО за 2025/26 учебный год соответствуют требованиям нормативных актов и отвечают запросам участников образовательных отношений: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педагогическими работниками ДОО укомплектована полностью; 71 % педагогов от штата имеют квалификационную категорию, 58 % — высшее педагогическое образование;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освоение ОП ДО воспитанниками демонстрирует устойчивую положительную динамику; разработаны и апробированы индивидуальные образовательные маршруты для детей с особыми потребностями;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повышен индекс здоровья воспитанников;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обновлена РППС: приобретены дидактические пособия, игры, методическая литература;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70 % родителей удовлетворены ОП ДО, 72 % регулярно участвуют в мероприятиях ДОО;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70 % педагогов — активные участники конкурсов различного уровня, имеют публикации;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расширилось сетевое взаимодействие с учреждениями культуры, образования и спорта.</w:t>
      </w:r>
    </w:p>
    <w:p>
      <w:pPr>
        <w:spacing w:after="120" w:line="300"/>
        <w:ind w:firstLine="567"/>
      </w:pPr>
      <w:r>
        <w:t xml:space="preserve">Зафиксированные дефициты и проблемные точки: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укомплектованность групп превышает 100 % (рост числа воспитанников раннего возраста);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необходимо дооборудование прогулочных участков (выносное игровое оборудование, теневые навесы);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требуется доукомплектование рабочих мест педагогов ИКТ-оборудованием и методическими комплектами по ФОП ДО.</w:t>
      </w:r>
    </w:p>
    <w:p>
      <w:pPr>
        <w:pStyle w:val="Heading3"/>
      </w:pPr>
      <w:r>
        <w:t xml:space="preserve">Задачи на 2026/27 учебный год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Совершенствовать локальную и методическую базу ДОО в соответствии с действующим законодательством, обновить рабочие программы с учётом изменений ФОП ДО и ФАОП ДО.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Развивать модель физкультурно-оздоровительной работы с акцентом на индивидуальное сопровождение часто болеющих детей и детей с хроническими заболеваниями.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Обеспечить участие воспитанников и педагогов в конкурсах муниципального, регионального и федерального уровней.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Создать условия для познавательно-исследовательского и логико-математического развития детей старшего дошкольного возраста (внедрение STEM-набора, шахмат, элементов простой робототехники).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Организовать системное повышение квалификации педагогов (курсы, мастер-классы, наставничество, участие в межрегиональных и муниципальных конкурсах).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Обеспечить индивидуальное психолого-педагогическое сопровождение воспитанников с ОВЗ.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Развивать партнёрство с семьёй: внедрить новые форматы вовлечения (проектные мастерские, родительские клубы по возрастам, цифровые консультации).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Реализовать с 1 сентября 2026 года проекты «Добрые игры» и «Орлята-дошколята».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Включиться в план мероприятий к Году единства народов России и Году дошкольного образования.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Обеспечить готовность к организации дополнительных образовательных услуг по запросу семей.</w:t>
      </w:r>
    </w:p>
    <w:p>
      <w:pPr>
        <w:spacing w:after="100"/>
      </w:pPr>
      <w:r>
        <w:t xml:space="preserve"/>
      </w:r>
    </w:p>
    <w:p>
      <w:pPr>
        <w:spacing w:after="100"/>
      </w:pPr>
      <w:r>
        <w:t xml:space="preserve"/>
      </w:r>
    </w:p>
    <w:p>
      <w:pPr>
        <w:spacing w:after="120" w:line="300"/>
        <w:ind w:firstLine="0"/>
      </w:pPr>
      <w:r>
        <w:t xml:space="preserve">Справку составили:</w:t>
      </w:r>
    </w:p>
    <w:p>
      <w:pPr>
        <w:spacing w:after="120" w:line="300"/>
        <w:ind w:firstLine="0"/>
      </w:pPr>
      <w:r>
        <w:t xml:space="preserve">Старший воспитатель                                          ______________ О.С. Дёмина</w:t>
      </w:r>
    </w:p>
    <w:p>
      <w:pPr>
        <w:spacing w:after="120" w:line="300"/>
        <w:ind w:firstLine="0"/>
      </w:pPr>
      <w:r>
        <w:t xml:space="preserve">Педагог-психолог                                                  ______________ В.А. Соломатина</w:t>
      </w:r>
    </w:p>
    <w:p>
      <w:pPr>
        <w:spacing w:after="100"/>
      </w:pPr>
      <w:r>
        <w:t xml:space="preserve"/>
      </w:r>
    </w:p>
    <w:p>
      <w:pPr>
        <w:spacing w:after="120" w:line="300"/>
        <w:ind w:firstLine="0"/>
      </w:pPr>
      <w:r>
        <w:rPr>
          <w:i/>
          <w:iCs/>
        </w:rPr>
        <w:t xml:space="preserve">Дата: 25.05.2026</w:t>
      </w:r>
    </w:p>
    <w:sectPr>
      <w:pgSz w:w="11906" w:h="16838" w:orient="portrait"/>
      <w:pgMar w:top="1440" w:right="1080" w:bottom="1440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  <w:lvl w:ilvl="1" w15:tentative="1">
      <w:start w:val="1"/>
      <w:numFmt w:val="decimal"/>
      <w:lvlText w:val="%1.%2."/>
      <w:lvlJc w:val="left"/>
      <w:pPr>
        <w:ind w:left="1440" w:hanging="540"/>
      </w:pPr>
    </w:lvl>
  </w:abstractNum>
  <w:abstractNum w:abstractNumId="5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80" w:line="300"/>
      <w:jc w:val="center"/>
      <w:outlineLvl w:val="0"/>
    </w:pPr>
    <w:rPr>
      <w:rFonts w:ascii="Times New Roman" w:cs="Times New Roman" w:eastAsia="Times New Roman" w:hAnsi="Times New Roman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40" w:line="280"/>
      <w:outlineLvl w:val="1"/>
    </w:pPr>
    <w:rPr>
      <w:rFonts w:ascii="Times New Roman" w:cs="Times New Roman" w:eastAsia="Times New Roman" w:hAnsi="Times New Roman"/>
      <w:b/>
      <w:bCs/>
      <w:color w:val="1F4E79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 w:line="280"/>
      <w:outlineLvl w:val="2"/>
    </w:pPr>
    <w:rPr>
      <w:rFonts w:ascii="Times New Roman" w:cs="Times New Roman" w:eastAsia="Times New Roman" w:hAnsi="Times New Roman"/>
      <w:b/>
      <w:bCs/>
      <w:color w:val="2E75B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2026-05-14T05:50:14Z</dcterms:created>
  <dcterms:modified xsi:type="dcterms:W3CDTF">2026-05-14T05:50:14Z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